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9CF62" w14:textId="77777777" w:rsidR="005712AF" w:rsidRPr="00D15178" w:rsidRDefault="005712AF" w:rsidP="00D15178">
      <w:pPr>
        <w:pStyle w:val="Nadpis1"/>
        <w:jc w:val="center"/>
        <w:rPr>
          <w:rFonts w:ascii="Garamond" w:hAnsi="Garamond" w:cs="Times New Roman"/>
          <w:b/>
          <w:color w:val="auto"/>
          <w:szCs w:val="24"/>
          <w:lang w:val="en-US"/>
        </w:rPr>
      </w:pPr>
      <w:r w:rsidRPr="00D15178">
        <w:rPr>
          <w:rFonts w:ascii="Garamond" w:hAnsi="Garamond" w:cs="Times New Roman"/>
          <w:b/>
          <w:color w:val="auto"/>
          <w:szCs w:val="24"/>
          <w:lang w:val="en-US"/>
        </w:rPr>
        <w:t>Spatial Realignment of German Voters and Germany's Regional Cleavage: Case of the Green Party in the 2019 European Elections</w:t>
      </w:r>
    </w:p>
    <w:p w14:paraId="4900C3E6" w14:textId="77777777" w:rsidR="00D15178" w:rsidRDefault="005712AF" w:rsidP="00D15178">
      <w:pPr>
        <w:spacing w:before="360" w:after="0" w:line="276" w:lineRule="auto"/>
        <w:jc w:val="center"/>
        <w:rPr>
          <w:rFonts w:ascii="Garamond" w:hAnsi="Garamond"/>
          <w:b/>
          <w:sz w:val="28"/>
          <w:szCs w:val="24"/>
          <w:lang w:val="en-US"/>
        </w:rPr>
      </w:pPr>
      <w:r w:rsidRPr="00361FDA">
        <w:rPr>
          <w:rFonts w:ascii="Garamond" w:hAnsi="Garamond"/>
          <w:b/>
          <w:sz w:val="28"/>
          <w:szCs w:val="24"/>
          <w:lang w:val="en-US"/>
        </w:rPr>
        <w:t xml:space="preserve">Ilia </w:t>
      </w:r>
      <w:proofErr w:type="spellStart"/>
      <w:r w:rsidRPr="00361FDA">
        <w:rPr>
          <w:rFonts w:ascii="Garamond" w:hAnsi="Garamond"/>
          <w:b/>
          <w:sz w:val="28"/>
          <w:szCs w:val="24"/>
          <w:lang w:val="en-US"/>
        </w:rPr>
        <w:t>Viatkin</w:t>
      </w:r>
      <w:proofErr w:type="spellEnd"/>
    </w:p>
    <w:p w14:paraId="171C7200" w14:textId="07A11073" w:rsidR="005712AF" w:rsidRPr="00D15178" w:rsidRDefault="005712AF" w:rsidP="00D15178">
      <w:pPr>
        <w:pStyle w:val="Nadpis2"/>
        <w:rPr>
          <w:rFonts w:ascii="Garamond" w:hAnsi="Garamond" w:cs="Times New Roman"/>
          <w:b/>
          <w:color w:val="auto"/>
          <w:sz w:val="28"/>
          <w:szCs w:val="24"/>
          <w:lang w:val="en-US"/>
        </w:rPr>
      </w:pPr>
      <w:r w:rsidRPr="00D15178">
        <w:rPr>
          <w:rFonts w:ascii="Garamond" w:hAnsi="Garamond" w:cs="Times New Roman"/>
          <w:b/>
          <w:color w:val="auto"/>
          <w:sz w:val="28"/>
          <w:szCs w:val="24"/>
          <w:lang w:val="en-US"/>
        </w:rPr>
        <w:t>Appendices</w:t>
      </w:r>
    </w:p>
    <w:p w14:paraId="394E2B57" w14:textId="77777777" w:rsidR="005712AF" w:rsidRPr="00712A3E" w:rsidRDefault="005712AF" w:rsidP="005712AF">
      <w:pPr>
        <w:spacing w:before="240" w:after="0" w:line="360" w:lineRule="auto"/>
        <w:jc w:val="both"/>
        <w:rPr>
          <w:rFonts w:ascii="Garamond" w:hAnsi="Garamond" w:cs="Times New Roman"/>
          <w:b/>
          <w:i/>
          <w:sz w:val="24"/>
          <w:szCs w:val="24"/>
          <w:lang w:val="en-US"/>
        </w:rPr>
      </w:pPr>
      <w:r>
        <w:rPr>
          <w:rFonts w:ascii="Garamond" w:hAnsi="Garamond" w:cs="Times New Roman"/>
          <w:b/>
          <w:i/>
          <w:sz w:val="24"/>
          <w:szCs w:val="24"/>
          <w:lang w:val="en-US"/>
        </w:rPr>
        <w:t xml:space="preserve">1. </w:t>
      </w:r>
      <w:r w:rsidRPr="00712A3E">
        <w:rPr>
          <w:rFonts w:ascii="Garamond" w:hAnsi="Garamond" w:cs="Times New Roman"/>
          <w:b/>
          <w:i/>
          <w:sz w:val="24"/>
          <w:szCs w:val="24"/>
          <w:lang w:val="en-US"/>
        </w:rPr>
        <w:t xml:space="preserve">2014 and 2019 European elections results of the Green party </w:t>
      </w:r>
    </w:p>
    <w:p w14:paraId="06E16B12" w14:textId="77777777" w:rsidR="005712AF" w:rsidRPr="00A93946" w:rsidRDefault="005712AF" w:rsidP="005712AF">
      <w:pPr>
        <w:spacing w:before="120" w:after="120" w:line="276" w:lineRule="auto"/>
        <w:jc w:val="both"/>
        <w:rPr>
          <w:rFonts w:ascii="Garamond" w:hAnsi="Garamond" w:cs="Times New Roman"/>
          <w:b/>
          <w:sz w:val="24"/>
          <w:szCs w:val="24"/>
          <w:lang w:val="en-US"/>
        </w:rPr>
      </w:pPr>
      <w:r w:rsidRPr="00A93946">
        <w:rPr>
          <w:rFonts w:ascii="Garamond" w:hAnsi="Garamond" w:cs="Times New Roman"/>
          <w:b/>
          <w:sz w:val="24"/>
          <w:szCs w:val="24"/>
          <w:lang w:val="en-US"/>
        </w:rPr>
        <w:t>Table 1.1. Comparison of the 2014 and 2019 European elections results of the Green party with respect to federal state, Eastern Germany</w:t>
      </w:r>
      <w:r w:rsidRPr="00A93946">
        <w:rPr>
          <w:rStyle w:val="Odkaznapoznmkupodiarou"/>
          <w:rFonts w:ascii="Garamond" w:hAnsi="Garamond" w:cs="Times New Roman"/>
          <w:b/>
          <w:sz w:val="24"/>
          <w:szCs w:val="24"/>
          <w:lang w:val="en-US"/>
        </w:rPr>
        <w:footnoteReference w:id="1"/>
      </w:r>
    </w:p>
    <w:tbl>
      <w:tblPr>
        <w:tblW w:w="8500" w:type="dxa"/>
        <w:tblLook w:val="04A0" w:firstRow="1" w:lastRow="0" w:firstColumn="1" w:lastColumn="0" w:noHBand="0" w:noVBand="1"/>
      </w:tblPr>
      <w:tblGrid>
        <w:gridCol w:w="2362"/>
        <w:gridCol w:w="2028"/>
        <w:gridCol w:w="2126"/>
        <w:gridCol w:w="1984"/>
      </w:tblGrid>
      <w:tr w:rsidR="005712AF" w:rsidRPr="009F4711" w14:paraId="1D2530A5" w14:textId="77777777" w:rsidTr="000C6411">
        <w:trPr>
          <w:trHeight w:val="5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54970"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Federal state</w:t>
            </w:r>
          </w:p>
        </w:tc>
        <w:tc>
          <w:tcPr>
            <w:tcW w:w="4154" w:type="dxa"/>
            <w:gridSpan w:val="2"/>
            <w:tcBorders>
              <w:top w:val="single" w:sz="4" w:space="0" w:color="auto"/>
              <w:left w:val="nil"/>
              <w:bottom w:val="single" w:sz="4" w:space="0" w:color="auto"/>
              <w:right w:val="single" w:sz="4" w:space="0" w:color="auto"/>
            </w:tcBorders>
            <w:shd w:val="clear" w:color="auto" w:fill="auto"/>
            <w:vAlign w:val="center"/>
            <w:hideMark/>
          </w:tcPr>
          <w:p w14:paraId="616F147E" w14:textId="77777777" w:rsidR="005712AF" w:rsidRPr="00B255F0" w:rsidRDefault="005712AF" w:rsidP="000C6411">
            <w:pPr>
              <w:spacing w:after="0" w:line="240" w:lineRule="auto"/>
              <w:jc w:val="center"/>
              <w:rPr>
                <w:rFonts w:ascii="Garamond" w:eastAsia="Times New Roman" w:hAnsi="Garamond" w:cs="Times New Roman"/>
                <w:i/>
                <w:color w:val="000000"/>
                <w:lang w:val="en-US" w:eastAsia="ru-RU"/>
              </w:rPr>
            </w:pPr>
            <w:r w:rsidRPr="00B255F0">
              <w:rPr>
                <w:rFonts w:ascii="Garamond" w:eastAsia="Times New Roman" w:hAnsi="Garamond" w:cs="Times New Roman"/>
                <w:i/>
                <w:color w:val="000000"/>
                <w:lang w:val="en-US" w:eastAsia="ru-RU"/>
              </w:rPr>
              <w:t>The Greens’ European elections results</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2188F"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Difference (%)</w:t>
            </w:r>
          </w:p>
        </w:tc>
      </w:tr>
      <w:tr w:rsidR="005712AF" w:rsidRPr="009F4711" w14:paraId="14D45962" w14:textId="77777777" w:rsidTr="000C6411">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7E5CF"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2028" w:type="dxa"/>
            <w:tcBorders>
              <w:top w:val="nil"/>
              <w:left w:val="nil"/>
              <w:bottom w:val="single" w:sz="4" w:space="0" w:color="auto"/>
              <w:right w:val="single" w:sz="4" w:space="0" w:color="auto"/>
            </w:tcBorders>
            <w:shd w:val="clear" w:color="auto" w:fill="auto"/>
            <w:vAlign w:val="center"/>
            <w:hideMark/>
          </w:tcPr>
          <w:p w14:paraId="2DC8150F"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2014</w:t>
            </w:r>
          </w:p>
        </w:tc>
        <w:tc>
          <w:tcPr>
            <w:tcW w:w="2126" w:type="dxa"/>
            <w:tcBorders>
              <w:top w:val="nil"/>
              <w:left w:val="nil"/>
              <w:bottom w:val="single" w:sz="4" w:space="0" w:color="auto"/>
              <w:right w:val="single" w:sz="4" w:space="0" w:color="auto"/>
            </w:tcBorders>
            <w:shd w:val="clear" w:color="auto" w:fill="auto"/>
            <w:vAlign w:val="center"/>
            <w:hideMark/>
          </w:tcPr>
          <w:p w14:paraId="6FDCB8A3"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2019</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A43D67" w14:textId="77777777" w:rsidR="005712AF" w:rsidRPr="00B255F0" w:rsidRDefault="005712AF" w:rsidP="000C6411">
            <w:pPr>
              <w:spacing w:after="0" w:line="240" w:lineRule="auto"/>
              <w:rPr>
                <w:rFonts w:ascii="Garamond" w:eastAsia="Times New Roman" w:hAnsi="Garamond" w:cs="Times New Roman"/>
                <w:color w:val="000000"/>
                <w:lang w:eastAsia="ru-RU"/>
              </w:rPr>
            </w:pPr>
          </w:p>
        </w:tc>
      </w:tr>
      <w:tr w:rsidR="005712AF" w:rsidRPr="009F4711" w14:paraId="6A718654" w14:textId="77777777" w:rsidTr="000C6411">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75CA96"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Brandenburg</w:t>
            </w:r>
          </w:p>
        </w:tc>
        <w:tc>
          <w:tcPr>
            <w:tcW w:w="2028" w:type="dxa"/>
            <w:tcBorders>
              <w:top w:val="nil"/>
              <w:left w:val="nil"/>
              <w:bottom w:val="single" w:sz="4" w:space="0" w:color="auto"/>
              <w:right w:val="single" w:sz="4" w:space="0" w:color="auto"/>
            </w:tcBorders>
            <w:shd w:val="clear" w:color="auto" w:fill="auto"/>
            <w:vAlign w:val="center"/>
            <w:hideMark/>
          </w:tcPr>
          <w:p w14:paraId="0EE9B480"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57,057 (6.1%)</w:t>
            </w:r>
          </w:p>
        </w:tc>
        <w:tc>
          <w:tcPr>
            <w:tcW w:w="2126" w:type="dxa"/>
            <w:tcBorders>
              <w:top w:val="nil"/>
              <w:left w:val="nil"/>
              <w:bottom w:val="single" w:sz="4" w:space="0" w:color="auto"/>
              <w:right w:val="single" w:sz="4" w:space="0" w:color="auto"/>
            </w:tcBorders>
            <w:shd w:val="clear" w:color="auto" w:fill="auto"/>
            <w:vAlign w:val="center"/>
            <w:hideMark/>
          </w:tcPr>
          <w:p w14:paraId="36BE3FB8"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147,224 (12.3%)</w:t>
            </w:r>
          </w:p>
        </w:tc>
        <w:tc>
          <w:tcPr>
            <w:tcW w:w="1984" w:type="dxa"/>
            <w:tcBorders>
              <w:top w:val="nil"/>
              <w:left w:val="nil"/>
              <w:bottom w:val="single" w:sz="4" w:space="0" w:color="auto"/>
              <w:right w:val="single" w:sz="4" w:space="0" w:color="auto"/>
            </w:tcBorders>
            <w:shd w:val="clear" w:color="auto" w:fill="auto"/>
            <w:vAlign w:val="center"/>
            <w:hideMark/>
          </w:tcPr>
          <w:p w14:paraId="3B9F544B"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+6.2</w:t>
            </w:r>
          </w:p>
        </w:tc>
      </w:tr>
      <w:tr w:rsidR="005712AF" w:rsidRPr="009F4711" w14:paraId="7EBA4B6F" w14:textId="77777777" w:rsidTr="000C6411">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B307D"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Mecklenburg-Vorpommern</w:t>
            </w:r>
          </w:p>
        </w:tc>
        <w:tc>
          <w:tcPr>
            <w:tcW w:w="2028" w:type="dxa"/>
            <w:tcBorders>
              <w:top w:val="nil"/>
              <w:left w:val="nil"/>
              <w:bottom w:val="single" w:sz="4" w:space="0" w:color="auto"/>
              <w:right w:val="single" w:sz="4" w:space="0" w:color="auto"/>
            </w:tcBorders>
            <w:shd w:val="clear" w:color="auto" w:fill="auto"/>
            <w:vAlign w:val="center"/>
            <w:hideMark/>
          </w:tcPr>
          <w:p w14:paraId="19BFFB70"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30,780 (5.1%)</w:t>
            </w:r>
          </w:p>
        </w:tc>
        <w:tc>
          <w:tcPr>
            <w:tcW w:w="2126" w:type="dxa"/>
            <w:tcBorders>
              <w:top w:val="nil"/>
              <w:left w:val="nil"/>
              <w:bottom w:val="single" w:sz="4" w:space="0" w:color="auto"/>
              <w:right w:val="single" w:sz="4" w:space="0" w:color="auto"/>
            </w:tcBorders>
            <w:shd w:val="clear" w:color="auto" w:fill="auto"/>
            <w:vAlign w:val="center"/>
            <w:hideMark/>
          </w:tcPr>
          <w:p w14:paraId="751DAADC"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81,285 (10.8%)</w:t>
            </w:r>
          </w:p>
        </w:tc>
        <w:tc>
          <w:tcPr>
            <w:tcW w:w="1984" w:type="dxa"/>
            <w:tcBorders>
              <w:top w:val="nil"/>
              <w:left w:val="nil"/>
              <w:bottom w:val="single" w:sz="4" w:space="0" w:color="auto"/>
              <w:right w:val="single" w:sz="4" w:space="0" w:color="auto"/>
            </w:tcBorders>
            <w:shd w:val="clear" w:color="auto" w:fill="auto"/>
            <w:vAlign w:val="center"/>
            <w:hideMark/>
          </w:tcPr>
          <w:p w14:paraId="0E30BC73"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+5.7</w:t>
            </w:r>
          </w:p>
        </w:tc>
      </w:tr>
      <w:tr w:rsidR="005712AF" w:rsidRPr="009F4711" w14:paraId="5757A073" w14:textId="77777777" w:rsidTr="000C6411">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ECE25A"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Saxony</w:t>
            </w:r>
          </w:p>
        </w:tc>
        <w:tc>
          <w:tcPr>
            <w:tcW w:w="2028" w:type="dxa"/>
            <w:tcBorders>
              <w:top w:val="nil"/>
              <w:left w:val="nil"/>
              <w:bottom w:val="single" w:sz="4" w:space="0" w:color="auto"/>
              <w:right w:val="single" w:sz="4" w:space="0" w:color="auto"/>
            </w:tcBorders>
            <w:shd w:val="clear" w:color="auto" w:fill="auto"/>
            <w:vAlign w:val="center"/>
            <w:hideMark/>
          </w:tcPr>
          <w:p w14:paraId="59B46871"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97,256 (6.0%)</w:t>
            </w:r>
          </w:p>
        </w:tc>
        <w:tc>
          <w:tcPr>
            <w:tcW w:w="2126" w:type="dxa"/>
            <w:tcBorders>
              <w:top w:val="nil"/>
              <w:left w:val="nil"/>
              <w:bottom w:val="single" w:sz="4" w:space="0" w:color="auto"/>
              <w:right w:val="single" w:sz="4" w:space="0" w:color="auto"/>
            </w:tcBorders>
            <w:shd w:val="clear" w:color="auto" w:fill="auto"/>
            <w:vAlign w:val="center"/>
            <w:hideMark/>
          </w:tcPr>
          <w:p w14:paraId="79179768"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212,407 (10.3%)</w:t>
            </w:r>
          </w:p>
        </w:tc>
        <w:tc>
          <w:tcPr>
            <w:tcW w:w="1984" w:type="dxa"/>
            <w:tcBorders>
              <w:top w:val="nil"/>
              <w:left w:val="nil"/>
              <w:bottom w:val="single" w:sz="4" w:space="0" w:color="auto"/>
              <w:right w:val="single" w:sz="4" w:space="0" w:color="auto"/>
            </w:tcBorders>
            <w:shd w:val="clear" w:color="auto" w:fill="auto"/>
            <w:vAlign w:val="center"/>
            <w:hideMark/>
          </w:tcPr>
          <w:p w14:paraId="19186140"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+4.3</w:t>
            </w:r>
          </w:p>
        </w:tc>
      </w:tr>
      <w:tr w:rsidR="005712AF" w:rsidRPr="009F4711" w14:paraId="4F4F7353" w14:textId="77777777" w:rsidTr="000C6411">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35190"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Saxony-Anhalt</w:t>
            </w:r>
          </w:p>
        </w:tc>
        <w:tc>
          <w:tcPr>
            <w:tcW w:w="2028" w:type="dxa"/>
            <w:tcBorders>
              <w:top w:val="nil"/>
              <w:left w:val="nil"/>
              <w:bottom w:val="single" w:sz="4" w:space="0" w:color="auto"/>
              <w:right w:val="single" w:sz="4" w:space="0" w:color="auto"/>
            </w:tcBorders>
            <w:shd w:val="clear" w:color="auto" w:fill="auto"/>
            <w:vAlign w:val="center"/>
            <w:hideMark/>
          </w:tcPr>
          <w:p w14:paraId="154CEFD6"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38,485 (4.8%)</w:t>
            </w:r>
          </w:p>
        </w:tc>
        <w:tc>
          <w:tcPr>
            <w:tcW w:w="2126" w:type="dxa"/>
            <w:tcBorders>
              <w:top w:val="nil"/>
              <w:left w:val="nil"/>
              <w:bottom w:val="single" w:sz="4" w:space="0" w:color="auto"/>
              <w:right w:val="single" w:sz="4" w:space="0" w:color="auto"/>
            </w:tcBorders>
            <w:shd w:val="clear" w:color="auto" w:fill="auto"/>
            <w:vAlign w:val="center"/>
            <w:hideMark/>
          </w:tcPr>
          <w:p w14:paraId="43999525"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89,345 (9.2%)</w:t>
            </w:r>
          </w:p>
        </w:tc>
        <w:tc>
          <w:tcPr>
            <w:tcW w:w="1984" w:type="dxa"/>
            <w:tcBorders>
              <w:top w:val="nil"/>
              <w:left w:val="nil"/>
              <w:bottom w:val="single" w:sz="4" w:space="0" w:color="auto"/>
              <w:right w:val="single" w:sz="4" w:space="0" w:color="auto"/>
            </w:tcBorders>
            <w:shd w:val="clear" w:color="auto" w:fill="auto"/>
            <w:vAlign w:val="center"/>
            <w:hideMark/>
          </w:tcPr>
          <w:p w14:paraId="75FB9351"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+4.3</w:t>
            </w:r>
          </w:p>
        </w:tc>
      </w:tr>
      <w:tr w:rsidR="005712AF" w:rsidRPr="009F4711" w14:paraId="5A032006" w14:textId="77777777" w:rsidTr="000C6411">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081C62"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Thuringia</w:t>
            </w:r>
          </w:p>
        </w:tc>
        <w:tc>
          <w:tcPr>
            <w:tcW w:w="2028" w:type="dxa"/>
            <w:tcBorders>
              <w:top w:val="nil"/>
              <w:left w:val="nil"/>
              <w:bottom w:val="single" w:sz="4" w:space="0" w:color="auto"/>
              <w:right w:val="single" w:sz="4" w:space="0" w:color="auto"/>
            </w:tcBorders>
            <w:shd w:val="clear" w:color="auto" w:fill="auto"/>
            <w:vAlign w:val="center"/>
            <w:hideMark/>
          </w:tcPr>
          <w:p w14:paraId="70359E49"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45,432 (5.0%)</w:t>
            </w:r>
          </w:p>
        </w:tc>
        <w:tc>
          <w:tcPr>
            <w:tcW w:w="2126" w:type="dxa"/>
            <w:tcBorders>
              <w:top w:val="nil"/>
              <w:left w:val="nil"/>
              <w:bottom w:val="single" w:sz="4" w:space="0" w:color="auto"/>
              <w:right w:val="single" w:sz="4" w:space="0" w:color="auto"/>
            </w:tcBorders>
            <w:shd w:val="clear" w:color="auto" w:fill="auto"/>
            <w:vAlign w:val="center"/>
            <w:hideMark/>
          </w:tcPr>
          <w:p w14:paraId="540649AF"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90,409 (8.6%)</w:t>
            </w:r>
          </w:p>
        </w:tc>
        <w:tc>
          <w:tcPr>
            <w:tcW w:w="1984" w:type="dxa"/>
            <w:tcBorders>
              <w:top w:val="nil"/>
              <w:left w:val="nil"/>
              <w:bottom w:val="single" w:sz="4" w:space="0" w:color="auto"/>
              <w:right w:val="single" w:sz="4" w:space="0" w:color="auto"/>
            </w:tcBorders>
            <w:shd w:val="clear" w:color="auto" w:fill="auto"/>
            <w:vAlign w:val="center"/>
            <w:hideMark/>
          </w:tcPr>
          <w:p w14:paraId="10459F76"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+3.6</w:t>
            </w:r>
          </w:p>
        </w:tc>
      </w:tr>
      <w:tr w:rsidR="005712AF" w:rsidRPr="009F4711" w14:paraId="2725991E" w14:textId="77777777" w:rsidTr="000C6411">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F05BD3" w14:textId="77777777" w:rsidR="005712AF" w:rsidRPr="00B255F0" w:rsidRDefault="005712AF" w:rsidP="000C6411">
            <w:pPr>
              <w:spacing w:after="0" w:line="240" w:lineRule="auto"/>
              <w:jc w:val="both"/>
              <w:rPr>
                <w:rFonts w:ascii="Garamond" w:eastAsia="Times New Roman" w:hAnsi="Garamond" w:cs="Times New Roman"/>
                <w:b/>
                <w:bCs/>
                <w:color w:val="000000"/>
                <w:lang w:eastAsia="ru-RU"/>
              </w:rPr>
            </w:pPr>
            <w:r w:rsidRPr="00B255F0">
              <w:rPr>
                <w:rFonts w:ascii="Garamond" w:eastAsia="Times New Roman" w:hAnsi="Garamond" w:cs="Times New Roman"/>
                <w:b/>
                <w:bCs/>
                <w:color w:val="000000"/>
                <w:lang w:eastAsia="ru-RU"/>
              </w:rPr>
              <w:t>Average percentage:</w:t>
            </w:r>
          </w:p>
        </w:tc>
        <w:tc>
          <w:tcPr>
            <w:tcW w:w="2028" w:type="dxa"/>
            <w:tcBorders>
              <w:top w:val="nil"/>
              <w:left w:val="nil"/>
              <w:bottom w:val="single" w:sz="4" w:space="0" w:color="auto"/>
              <w:right w:val="single" w:sz="4" w:space="0" w:color="auto"/>
            </w:tcBorders>
            <w:shd w:val="clear" w:color="auto" w:fill="auto"/>
            <w:vAlign w:val="center"/>
            <w:hideMark/>
          </w:tcPr>
          <w:p w14:paraId="53FF78BB" w14:textId="77777777" w:rsidR="005712AF" w:rsidRPr="00B255F0" w:rsidRDefault="005712AF" w:rsidP="000C6411">
            <w:pPr>
              <w:spacing w:after="0" w:line="240" w:lineRule="auto"/>
              <w:jc w:val="center"/>
              <w:rPr>
                <w:rFonts w:ascii="Garamond" w:eastAsia="Times New Roman" w:hAnsi="Garamond" w:cs="Times New Roman"/>
                <w:b/>
                <w:bCs/>
                <w:color w:val="000000"/>
                <w:lang w:eastAsia="ru-RU"/>
              </w:rPr>
            </w:pPr>
            <w:r w:rsidRPr="00B255F0">
              <w:rPr>
                <w:rFonts w:ascii="Garamond" w:eastAsia="Times New Roman" w:hAnsi="Garamond" w:cs="Times New Roman"/>
                <w:b/>
                <w:bCs/>
                <w:color w:val="000000"/>
                <w:lang w:eastAsia="ru-RU"/>
              </w:rPr>
              <w:t>5.4%</w:t>
            </w:r>
          </w:p>
        </w:tc>
        <w:tc>
          <w:tcPr>
            <w:tcW w:w="2126" w:type="dxa"/>
            <w:tcBorders>
              <w:top w:val="nil"/>
              <w:left w:val="nil"/>
              <w:bottom w:val="single" w:sz="4" w:space="0" w:color="auto"/>
              <w:right w:val="single" w:sz="4" w:space="0" w:color="auto"/>
            </w:tcBorders>
            <w:shd w:val="clear" w:color="auto" w:fill="auto"/>
            <w:vAlign w:val="center"/>
            <w:hideMark/>
          </w:tcPr>
          <w:p w14:paraId="0AC777ED" w14:textId="77777777" w:rsidR="005712AF" w:rsidRPr="00B255F0" w:rsidRDefault="005712AF" w:rsidP="000C6411">
            <w:pPr>
              <w:spacing w:after="0" w:line="240" w:lineRule="auto"/>
              <w:jc w:val="center"/>
              <w:rPr>
                <w:rFonts w:ascii="Garamond" w:eastAsia="Times New Roman" w:hAnsi="Garamond" w:cs="Times New Roman"/>
                <w:b/>
                <w:bCs/>
                <w:color w:val="000000"/>
                <w:lang w:eastAsia="ru-RU"/>
              </w:rPr>
            </w:pPr>
            <w:r w:rsidRPr="00B255F0">
              <w:rPr>
                <w:rFonts w:ascii="Garamond" w:eastAsia="Times New Roman" w:hAnsi="Garamond" w:cs="Times New Roman"/>
                <w:b/>
                <w:bCs/>
                <w:color w:val="000000"/>
                <w:lang w:eastAsia="ru-RU"/>
              </w:rPr>
              <w:t>10.24%</w:t>
            </w:r>
          </w:p>
        </w:tc>
        <w:tc>
          <w:tcPr>
            <w:tcW w:w="1984" w:type="dxa"/>
            <w:tcBorders>
              <w:top w:val="nil"/>
              <w:left w:val="nil"/>
              <w:bottom w:val="single" w:sz="4" w:space="0" w:color="auto"/>
              <w:right w:val="single" w:sz="4" w:space="0" w:color="auto"/>
            </w:tcBorders>
            <w:shd w:val="clear" w:color="auto" w:fill="auto"/>
            <w:vAlign w:val="center"/>
            <w:hideMark/>
          </w:tcPr>
          <w:p w14:paraId="21507858" w14:textId="77777777" w:rsidR="005712AF" w:rsidRPr="00B255F0" w:rsidRDefault="005712AF" w:rsidP="000C6411">
            <w:pPr>
              <w:spacing w:after="0" w:line="240" w:lineRule="auto"/>
              <w:jc w:val="center"/>
              <w:rPr>
                <w:rFonts w:ascii="Garamond" w:eastAsia="Times New Roman" w:hAnsi="Garamond" w:cs="Times New Roman"/>
                <w:b/>
                <w:bCs/>
                <w:color w:val="000000"/>
                <w:lang w:eastAsia="ru-RU"/>
              </w:rPr>
            </w:pPr>
            <w:r>
              <w:rPr>
                <w:rFonts w:ascii="Garamond" w:eastAsia="Times New Roman" w:hAnsi="Garamond" w:cs="Times New Roman"/>
                <w:b/>
                <w:bCs/>
                <w:color w:val="000000"/>
                <w:lang w:eastAsia="ru-RU"/>
              </w:rPr>
              <w:t>+4.84</w:t>
            </w:r>
          </w:p>
        </w:tc>
      </w:tr>
    </w:tbl>
    <w:p w14:paraId="686FE2DF" w14:textId="77777777" w:rsidR="005712AF" w:rsidRPr="007A232F" w:rsidRDefault="005712AF" w:rsidP="005712AF">
      <w:pPr>
        <w:spacing w:before="120" w:after="0" w:line="360" w:lineRule="auto"/>
        <w:jc w:val="both"/>
        <w:rPr>
          <w:rFonts w:ascii="Garamond" w:hAnsi="Garamond" w:cs="Times New Roman"/>
          <w:sz w:val="24"/>
          <w:szCs w:val="24"/>
          <w:lang w:val="en-US"/>
        </w:rPr>
      </w:pPr>
      <w:r w:rsidRPr="007A232F">
        <w:rPr>
          <w:rFonts w:ascii="Garamond" w:hAnsi="Garamond" w:cs="Times New Roman"/>
          <w:sz w:val="24"/>
          <w:szCs w:val="24"/>
          <w:lang w:val="en-US"/>
        </w:rPr>
        <w:t xml:space="preserve">Source: </w:t>
      </w:r>
      <w:r w:rsidRPr="007A232F">
        <w:rPr>
          <w:rFonts w:ascii="Garamond" w:hAnsi="Garamond" w:cs="Times New Roman"/>
          <w:color w:val="000000" w:themeColor="text1"/>
          <w:sz w:val="24"/>
          <w:szCs w:val="24"/>
          <w:lang w:val="en-US"/>
        </w:rPr>
        <w:t xml:space="preserve">Federal Returning Officer </w:t>
      </w:r>
      <w:r w:rsidRPr="007A232F">
        <w:rPr>
          <w:rFonts w:ascii="Garamond" w:hAnsi="Garamond" w:cs="Times New Roman"/>
          <w:sz w:val="24"/>
          <w:szCs w:val="24"/>
          <w:lang w:val="en-US"/>
        </w:rPr>
        <w:t>Federal Statistical Office (2019).</w:t>
      </w:r>
    </w:p>
    <w:p w14:paraId="275F7016" w14:textId="77777777" w:rsidR="005712AF" w:rsidRPr="00CC1FB2" w:rsidRDefault="005712AF" w:rsidP="005712AF">
      <w:pPr>
        <w:spacing w:before="240" w:after="120" w:line="276" w:lineRule="auto"/>
        <w:jc w:val="both"/>
        <w:rPr>
          <w:rFonts w:ascii="Garamond" w:hAnsi="Garamond" w:cs="Times New Roman"/>
          <w:b/>
          <w:sz w:val="24"/>
          <w:szCs w:val="24"/>
          <w:lang w:val="en-US"/>
        </w:rPr>
      </w:pPr>
      <w:r w:rsidRPr="00CC1FB2">
        <w:rPr>
          <w:rFonts w:ascii="Garamond" w:hAnsi="Garamond" w:cs="Times New Roman"/>
          <w:b/>
          <w:sz w:val="24"/>
          <w:szCs w:val="24"/>
          <w:lang w:val="en-US"/>
        </w:rPr>
        <w:t>Table 1.2. Comparison of the 2014 and 2019 European elections results of the Green party with respect to federal state, Western Germany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170"/>
        <w:gridCol w:w="2126"/>
        <w:gridCol w:w="1984"/>
      </w:tblGrid>
      <w:tr w:rsidR="005712AF" w:rsidRPr="009F4711" w14:paraId="511BF38B" w14:textId="77777777" w:rsidTr="000C6411">
        <w:trPr>
          <w:trHeight w:val="540"/>
        </w:trPr>
        <w:tc>
          <w:tcPr>
            <w:tcW w:w="0" w:type="auto"/>
            <w:vMerge w:val="restart"/>
            <w:shd w:val="clear" w:color="auto" w:fill="auto"/>
            <w:vAlign w:val="center"/>
            <w:hideMark/>
          </w:tcPr>
          <w:p w14:paraId="135BC520"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Federal state</w:t>
            </w:r>
          </w:p>
        </w:tc>
        <w:tc>
          <w:tcPr>
            <w:tcW w:w="4296" w:type="dxa"/>
            <w:gridSpan w:val="2"/>
            <w:shd w:val="clear" w:color="auto" w:fill="auto"/>
            <w:vAlign w:val="center"/>
            <w:hideMark/>
          </w:tcPr>
          <w:p w14:paraId="42A61AE4" w14:textId="77777777" w:rsidR="005712AF" w:rsidRPr="00B255F0" w:rsidRDefault="005712AF" w:rsidP="000C6411">
            <w:pPr>
              <w:spacing w:after="0" w:line="240" w:lineRule="auto"/>
              <w:jc w:val="center"/>
              <w:rPr>
                <w:rFonts w:ascii="Garamond" w:eastAsia="Times New Roman" w:hAnsi="Garamond" w:cs="Times New Roman"/>
                <w:i/>
                <w:color w:val="000000"/>
                <w:lang w:val="en-US" w:eastAsia="ru-RU"/>
              </w:rPr>
            </w:pPr>
            <w:r w:rsidRPr="00B255F0">
              <w:rPr>
                <w:rFonts w:ascii="Garamond" w:eastAsia="Times New Roman" w:hAnsi="Garamond" w:cs="Times New Roman"/>
                <w:i/>
                <w:color w:val="000000"/>
                <w:lang w:val="en-US" w:eastAsia="ru-RU"/>
              </w:rPr>
              <w:t>The Greens’ European elections results</w:t>
            </w:r>
          </w:p>
        </w:tc>
        <w:tc>
          <w:tcPr>
            <w:tcW w:w="1984" w:type="dxa"/>
            <w:vMerge w:val="restart"/>
            <w:shd w:val="clear" w:color="auto" w:fill="auto"/>
            <w:vAlign w:val="center"/>
            <w:hideMark/>
          </w:tcPr>
          <w:p w14:paraId="7962747E" w14:textId="77777777" w:rsidR="005712AF" w:rsidRPr="00B255F0" w:rsidRDefault="005712AF" w:rsidP="000C6411">
            <w:pPr>
              <w:spacing w:after="0" w:line="240" w:lineRule="auto"/>
              <w:jc w:val="center"/>
              <w:rPr>
                <w:rFonts w:ascii="Garamond" w:eastAsia="Times New Roman" w:hAnsi="Garamond" w:cs="Times New Roman"/>
                <w:b/>
                <w:color w:val="000000"/>
                <w:lang w:eastAsia="ru-RU"/>
              </w:rPr>
            </w:pPr>
            <w:r w:rsidRPr="00B255F0">
              <w:rPr>
                <w:rFonts w:ascii="Garamond" w:eastAsia="Times New Roman" w:hAnsi="Garamond" w:cs="Times New Roman"/>
                <w:b/>
                <w:color w:val="000000"/>
                <w:lang w:eastAsia="ru-RU"/>
              </w:rPr>
              <w:t>Difference (%)</w:t>
            </w:r>
          </w:p>
        </w:tc>
      </w:tr>
      <w:tr w:rsidR="005712AF" w:rsidRPr="009F4711" w14:paraId="06F9A1D7" w14:textId="77777777" w:rsidTr="000C6411">
        <w:trPr>
          <w:trHeight w:val="540"/>
        </w:trPr>
        <w:tc>
          <w:tcPr>
            <w:tcW w:w="0" w:type="auto"/>
            <w:vMerge/>
            <w:vAlign w:val="center"/>
            <w:hideMark/>
          </w:tcPr>
          <w:p w14:paraId="385AF962"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2170" w:type="dxa"/>
            <w:shd w:val="clear" w:color="auto" w:fill="auto"/>
            <w:vAlign w:val="center"/>
            <w:hideMark/>
          </w:tcPr>
          <w:p w14:paraId="151DEEEF"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2014</w:t>
            </w:r>
          </w:p>
        </w:tc>
        <w:tc>
          <w:tcPr>
            <w:tcW w:w="2126" w:type="dxa"/>
            <w:shd w:val="clear" w:color="auto" w:fill="auto"/>
            <w:vAlign w:val="center"/>
            <w:hideMark/>
          </w:tcPr>
          <w:p w14:paraId="3864017E"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2019</w:t>
            </w:r>
          </w:p>
        </w:tc>
        <w:tc>
          <w:tcPr>
            <w:tcW w:w="1984" w:type="dxa"/>
            <w:vMerge/>
            <w:vAlign w:val="center"/>
            <w:hideMark/>
          </w:tcPr>
          <w:p w14:paraId="6F9A213A" w14:textId="77777777" w:rsidR="005712AF" w:rsidRPr="00B255F0" w:rsidRDefault="005712AF" w:rsidP="000C6411">
            <w:pPr>
              <w:spacing w:after="0" w:line="240" w:lineRule="auto"/>
              <w:rPr>
                <w:rFonts w:ascii="Garamond" w:eastAsia="Times New Roman" w:hAnsi="Garamond" w:cs="Times New Roman"/>
                <w:color w:val="000000"/>
                <w:lang w:eastAsia="ru-RU"/>
              </w:rPr>
            </w:pPr>
          </w:p>
        </w:tc>
      </w:tr>
      <w:tr w:rsidR="005712AF" w:rsidRPr="009F4711" w14:paraId="7C6328B5" w14:textId="77777777" w:rsidTr="000C6411">
        <w:trPr>
          <w:trHeight w:val="499"/>
        </w:trPr>
        <w:tc>
          <w:tcPr>
            <w:tcW w:w="0" w:type="auto"/>
            <w:shd w:val="clear" w:color="auto" w:fill="auto"/>
            <w:vAlign w:val="center"/>
            <w:hideMark/>
          </w:tcPr>
          <w:p w14:paraId="31C25AA5"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Baden-Württemberg</w:t>
            </w:r>
          </w:p>
        </w:tc>
        <w:tc>
          <w:tcPr>
            <w:tcW w:w="2170" w:type="dxa"/>
            <w:shd w:val="clear" w:color="auto" w:fill="auto"/>
            <w:vAlign w:val="center"/>
            <w:hideMark/>
          </w:tcPr>
          <w:p w14:paraId="081C45DC"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517,842 (13.2%)</w:t>
            </w:r>
          </w:p>
        </w:tc>
        <w:tc>
          <w:tcPr>
            <w:tcW w:w="2126" w:type="dxa"/>
            <w:shd w:val="clear" w:color="auto" w:fill="auto"/>
            <w:vAlign w:val="center"/>
            <w:hideMark/>
          </w:tcPr>
          <w:p w14:paraId="3FB0BB33"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1,135,696 (23.3%)</w:t>
            </w:r>
          </w:p>
        </w:tc>
        <w:tc>
          <w:tcPr>
            <w:tcW w:w="1984" w:type="dxa"/>
            <w:shd w:val="clear" w:color="auto" w:fill="auto"/>
            <w:vAlign w:val="center"/>
            <w:hideMark/>
          </w:tcPr>
          <w:p w14:paraId="7A0A68CB"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+10.1</w:t>
            </w:r>
          </w:p>
        </w:tc>
      </w:tr>
      <w:tr w:rsidR="005712AF" w:rsidRPr="009F4711" w14:paraId="02F7ED07" w14:textId="77777777" w:rsidTr="000C6411">
        <w:trPr>
          <w:trHeight w:val="499"/>
        </w:trPr>
        <w:tc>
          <w:tcPr>
            <w:tcW w:w="0" w:type="auto"/>
            <w:shd w:val="clear" w:color="auto" w:fill="auto"/>
            <w:vAlign w:val="center"/>
            <w:hideMark/>
          </w:tcPr>
          <w:p w14:paraId="031D966D"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Bavaria</w:t>
            </w:r>
          </w:p>
        </w:tc>
        <w:tc>
          <w:tcPr>
            <w:tcW w:w="2170" w:type="dxa"/>
            <w:shd w:val="clear" w:color="auto" w:fill="auto"/>
            <w:vAlign w:val="center"/>
            <w:hideMark/>
          </w:tcPr>
          <w:p w14:paraId="21209204"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466,916 (12.1%)</w:t>
            </w:r>
          </w:p>
        </w:tc>
        <w:tc>
          <w:tcPr>
            <w:tcW w:w="2126" w:type="dxa"/>
            <w:shd w:val="clear" w:color="auto" w:fill="auto"/>
            <w:vAlign w:val="center"/>
            <w:hideMark/>
          </w:tcPr>
          <w:p w14:paraId="798E62B1"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1,102,420 (19.1%)</w:t>
            </w:r>
          </w:p>
        </w:tc>
        <w:tc>
          <w:tcPr>
            <w:tcW w:w="1984" w:type="dxa"/>
            <w:shd w:val="clear" w:color="auto" w:fill="auto"/>
            <w:vAlign w:val="center"/>
            <w:hideMark/>
          </w:tcPr>
          <w:p w14:paraId="666D1CD4"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+7</w:t>
            </w:r>
          </w:p>
        </w:tc>
      </w:tr>
      <w:tr w:rsidR="005712AF" w:rsidRPr="009F4711" w14:paraId="462DBF85" w14:textId="77777777" w:rsidTr="000C6411">
        <w:trPr>
          <w:trHeight w:val="499"/>
        </w:trPr>
        <w:tc>
          <w:tcPr>
            <w:tcW w:w="0" w:type="auto"/>
            <w:shd w:val="clear" w:color="auto" w:fill="auto"/>
            <w:vAlign w:val="center"/>
            <w:hideMark/>
          </w:tcPr>
          <w:p w14:paraId="7C4CCA41"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lastRenderedPageBreak/>
              <w:t>Bremen</w:t>
            </w:r>
          </w:p>
        </w:tc>
        <w:tc>
          <w:tcPr>
            <w:tcW w:w="2170" w:type="dxa"/>
            <w:shd w:val="clear" w:color="auto" w:fill="auto"/>
            <w:vAlign w:val="center"/>
            <w:hideMark/>
          </w:tcPr>
          <w:p w14:paraId="28F81FF8"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33,997 (17.6%)</w:t>
            </w:r>
          </w:p>
        </w:tc>
        <w:tc>
          <w:tcPr>
            <w:tcW w:w="2126" w:type="dxa"/>
            <w:shd w:val="clear" w:color="auto" w:fill="auto"/>
            <w:vAlign w:val="center"/>
            <w:hideMark/>
          </w:tcPr>
          <w:p w14:paraId="51EF3D57"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66,390 (22.7%)</w:t>
            </w:r>
          </w:p>
        </w:tc>
        <w:tc>
          <w:tcPr>
            <w:tcW w:w="1984" w:type="dxa"/>
            <w:shd w:val="clear" w:color="auto" w:fill="auto"/>
            <w:vAlign w:val="center"/>
            <w:hideMark/>
          </w:tcPr>
          <w:p w14:paraId="6211210C"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+5.1</w:t>
            </w:r>
          </w:p>
        </w:tc>
      </w:tr>
      <w:tr w:rsidR="005712AF" w:rsidRPr="009F4711" w14:paraId="201E49DB" w14:textId="77777777" w:rsidTr="000C6411">
        <w:trPr>
          <w:trHeight w:val="499"/>
        </w:trPr>
        <w:tc>
          <w:tcPr>
            <w:tcW w:w="0" w:type="auto"/>
            <w:shd w:val="clear" w:color="auto" w:fill="auto"/>
            <w:vAlign w:val="center"/>
            <w:hideMark/>
          </w:tcPr>
          <w:p w14:paraId="64193C50"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Hamburg</w:t>
            </w:r>
          </w:p>
        </w:tc>
        <w:tc>
          <w:tcPr>
            <w:tcW w:w="2170" w:type="dxa"/>
            <w:shd w:val="clear" w:color="auto" w:fill="auto"/>
            <w:vAlign w:val="center"/>
            <w:hideMark/>
          </w:tcPr>
          <w:p w14:paraId="372BB197"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95,169 (17.2%)</w:t>
            </w:r>
          </w:p>
        </w:tc>
        <w:tc>
          <w:tcPr>
            <w:tcW w:w="2126" w:type="dxa"/>
            <w:shd w:val="clear" w:color="auto" w:fill="auto"/>
            <w:vAlign w:val="center"/>
            <w:hideMark/>
          </w:tcPr>
          <w:p w14:paraId="2248B03E"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247,719 (31.1%)</w:t>
            </w:r>
          </w:p>
        </w:tc>
        <w:tc>
          <w:tcPr>
            <w:tcW w:w="1984" w:type="dxa"/>
            <w:shd w:val="clear" w:color="auto" w:fill="auto"/>
            <w:vAlign w:val="center"/>
            <w:hideMark/>
          </w:tcPr>
          <w:p w14:paraId="599E11D0"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+13.9</w:t>
            </w:r>
          </w:p>
        </w:tc>
      </w:tr>
      <w:tr w:rsidR="005712AF" w:rsidRPr="009F4711" w14:paraId="345E1014" w14:textId="77777777" w:rsidTr="000C6411">
        <w:trPr>
          <w:trHeight w:val="499"/>
        </w:trPr>
        <w:tc>
          <w:tcPr>
            <w:tcW w:w="0" w:type="auto"/>
            <w:shd w:val="clear" w:color="auto" w:fill="auto"/>
            <w:vAlign w:val="center"/>
            <w:hideMark/>
          </w:tcPr>
          <w:p w14:paraId="4504229C"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Hesse</w:t>
            </w:r>
          </w:p>
        </w:tc>
        <w:tc>
          <w:tcPr>
            <w:tcW w:w="2170" w:type="dxa"/>
            <w:shd w:val="clear" w:color="auto" w:fill="auto"/>
            <w:vAlign w:val="center"/>
            <w:hideMark/>
          </w:tcPr>
          <w:p w14:paraId="4AB0A286"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238,657 (12.9%)</w:t>
            </w:r>
          </w:p>
        </w:tc>
        <w:tc>
          <w:tcPr>
            <w:tcW w:w="2126" w:type="dxa"/>
            <w:shd w:val="clear" w:color="auto" w:fill="auto"/>
            <w:vAlign w:val="center"/>
            <w:hideMark/>
          </w:tcPr>
          <w:p w14:paraId="7557BF13"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598,460 (23.4%)</w:t>
            </w:r>
          </w:p>
        </w:tc>
        <w:tc>
          <w:tcPr>
            <w:tcW w:w="1984" w:type="dxa"/>
            <w:shd w:val="clear" w:color="auto" w:fill="auto"/>
            <w:vAlign w:val="center"/>
            <w:hideMark/>
          </w:tcPr>
          <w:p w14:paraId="424A3849"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+10.5</w:t>
            </w:r>
          </w:p>
        </w:tc>
      </w:tr>
      <w:tr w:rsidR="005712AF" w:rsidRPr="009F4711" w14:paraId="2ECD8F02" w14:textId="77777777" w:rsidTr="000C6411">
        <w:trPr>
          <w:trHeight w:val="499"/>
        </w:trPr>
        <w:tc>
          <w:tcPr>
            <w:tcW w:w="0" w:type="auto"/>
            <w:shd w:val="clear" w:color="auto" w:fill="auto"/>
            <w:vAlign w:val="center"/>
            <w:hideMark/>
          </w:tcPr>
          <w:p w14:paraId="179B94A7"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 xml:space="preserve">Lower Saxony </w:t>
            </w:r>
          </w:p>
        </w:tc>
        <w:tc>
          <w:tcPr>
            <w:tcW w:w="2170" w:type="dxa"/>
            <w:shd w:val="clear" w:color="auto" w:fill="auto"/>
            <w:vAlign w:val="center"/>
            <w:hideMark/>
          </w:tcPr>
          <w:p w14:paraId="46A285C9"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324,221 (10.9%)</w:t>
            </w:r>
          </w:p>
        </w:tc>
        <w:tc>
          <w:tcPr>
            <w:tcW w:w="2126" w:type="dxa"/>
            <w:shd w:val="clear" w:color="auto" w:fill="auto"/>
            <w:vAlign w:val="center"/>
            <w:hideMark/>
          </w:tcPr>
          <w:p w14:paraId="63F355EC"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846,522 (22.6%)</w:t>
            </w:r>
          </w:p>
        </w:tc>
        <w:tc>
          <w:tcPr>
            <w:tcW w:w="1984" w:type="dxa"/>
            <w:shd w:val="clear" w:color="auto" w:fill="auto"/>
            <w:vAlign w:val="center"/>
            <w:hideMark/>
          </w:tcPr>
          <w:p w14:paraId="093419C7"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+11.7</w:t>
            </w:r>
          </w:p>
        </w:tc>
      </w:tr>
      <w:tr w:rsidR="005712AF" w:rsidRPr="009F4711" w14:paraId="7F8BE112" w14:textId="77777777" w:rsidTr="000C6411">
        <w:trPr>
          <w:trHeight w:val="499"/>
        </w:trPr>
        <w:tc>
          <w:tcPr>
            <w:tcW w:w="0" w:type="auto"/>
            <w:shd w:val="clear" w:color="auto" w:fill="auto"/>
            <w:vAlign w:val="center"/>
            <w:hideMark/>
          </w:tcPr>
          <w:p w14:paraId="1EF3FD8B" w14:textId="77777777" w:rsidR="005712AF" w:rsidRPr="00B255F0" w:rsidRDefault="005712AF" w:rsidP="000C6411">
            <w:pPr>
              <w:spacing w:after="0" w:line="240" w:lineRule="auto"/>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North Rhine</w:t>
            </w:r>
            <w:r w:rsidRPr="00B255F0">
              <w:rPr>
                <w:rFonts w:ascii="Garamond" w:eastAsia="Times New Roman" w:hAnsi="Garamond" w:cs="Times New Roman"/>
                <w:color w:val="000000"/>
                <w:lang w:val="en-US" w:eastAsia="ru-RU"/>
              </w:rPr>
              <w:t xml:space="preserve"> </w:t>
            </w:r>
            <w:r w:rsidRPr="00B255F0">
              <w:rPr>
                <w:rFonts w:ascii="Garamond" w:eastAsia="Times New Roman" w:hAnsi="Garamond" w:cs="Times New Roman"/>
                <w:color w:val="000000"/>
                <w:lang w:eastAsia="ru-RU"/>
              </w:rPr>
              <w:t>- Westphalia</w:t>
            </w:r>
          </w:p>
        </w:tc>
        <w:tc>
          <w:tcPr>
            <w:tcW w:w="2170" w:type="dxa"/>
            <w:shd w:val="clear" w:color="auto" w:fill="auto"/>
            <w:vAlign w:val="center"/>
            <w:hideMark/>
          </w:tcPr>
          <w:p w14:paraId="115291B8"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688,410 (10.1%)</w:t>
            </w:r>
          </w:p>
        </w:tc>
        <w:tc>
          <w:tcPr>
            <w:tcW w:w="2126" w:type="dxa"/>
            <w:shd w:val="clear" w:color="auto" w:fill="auto"/>
            <w:vAlign w:val="center"/>
            <w:hideMark/>
          </w:tcPr>
          <w:p w14:paraId="27ACF99E"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1,854,487 (23.2%)</w:t>
            </w:r>
          </w:p>
        </w:tc>
        <w:tc>
          <w:tcPr>
            <w:tcW w:w="1984" w:type="dxa"/>
            <w:shd w:val="clear" w:color="auto" w:fill="auto"/>
            <w:vAlign w:val="center"/>
            <w:hideMark/>
          </w:tcPr>
          <w:p w14:paraId="31F0D799"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+13.1</w:t>
            </w:r>
          </w:p>
        </w:tc>
      </w:tr>
      <w:tr w:rsidR="005712AF" w:rsidRPr="009F4711" w14:paraId="665B2EAC" w14:textId="77777777" w:rsidTr="000C6411">
        <w:trPr>
          <w:trHeight w:val="499"/>
        </w:trPr>
        <w:tc>
          <w:tcPr>
            <w:tcW w:w="0" w:type="auto"/>
            <w:shd w:val="clear" w:color="auto" w:fill="auto"/>
            <w:vAlign w:val="center"/>
            <w:hideMark/>
          </w:tcPr>
          <w:p w14:paraId="34465D3C"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Rhineland</w:t>
            </w:r>
            <w:r w:rsidRPr="00B255F0">
              <w:rPr>
                <w:rFonts w:ascii="Garamond" w:eastAsia="Times New Roman" w:hAnsi="Garamond" w:cs="Times New Roman"/>
                <w:color w:val="000000"/>
                <w:lang w:val="en-US" w:eastAsia="ru-RU"/>
              </w:rPr>
              <w:t xml:space="preserve"> </w:t>
            </w:r>
            <w:r w:rsidRPr="00B255F0">
              <w:rPr>
                <w:rFonts w:ascii="Garamond" w:eastAsia="Times New Roman" w:hAnsi="Garamond" w:cs="Times New Roman"/>
                <w:color w:val="000000"/>
                <w:lang w:eastAsia="ru-RU"/>
              </w:rPr>
              <w:t>- Palatinate</w:t>
            </w:r>
          </w:p>
        </w:tc>
        <w:tc>
          <w:tcPr>
            <w:tcW w:w="2170" w:type="dxa"/>
            <w:shd w:val="clear" w:color="auto" w:fill="auto"/>
            <w:vAlign w:val="center"/>
            <w:hideMark/>
          </w:tcPr>
          <w:p w14:paraId="0A739DA4"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139,047 (8.1%)</w:t>
            </w:r>
          </w:p>
        </w:tc>
        <w:tc>
          <w:tcPr>
            <w:tcW w:w="2126" w:type="dxa"/>
            <w:shd w:val="clear" w:color="auto" w:fill="auto"/>
            <w:vAlign w:val="center"/>
            <w:hideMark/>
          </w:tcPr>
          <w:p w14:paraId="10736410"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327,704 (16.7%)</w:t>
            </w:r>
          </w:p>
        </w:tc>
        <w:tc>
          <w:tcPr>
            <w:tcW w:w="1984" w:type="dxa"/>
            <w:shd w:val="clear" w:color="auto" w:fill="auto"/>
            <w:vAlign w:val="center"/>
            <w:hideMark/>
          </w:tcPr>
          <w:p w14:paraId="35D2783B"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+8.6</w:t>
            </w:r>
          </w:p>
        </w:tc>
      </w:tr>
      <w:tr w:rsidR="005712AF" w:rsidRPr="009F4711" w14:paraId="57736B06" w14:textId="77777777" w:rsidTr="000C6411">
        <w:trPr>
          <w:trHeight w:val="499"/>
        </w:trPr>
        <w:tc>
          <w:tcPr>
            <w:tcW w:w="0" w:type="auto"/>
            <w:shd w:val="clear" w:color="auto" w:fill="auto"/>
            <w:vAlign w:val="center"/>
            <w:hideMark/>
          </w:tcPr>
          <w:p w14:paraId="531A6203"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Saarland</w:t>
            </w:r>
          </w:p>
        </w:tc>
        <w:tc>
          <w:tcPr>
            <w:tcW w:w="2170" w:type="dxa"/>
            <w:shd w:val="clear" w:color="auto" w:fill="auto"/>
            <w:vAlign w:val="center"/>
            <w:hideMark/>
          </w:tcPr>
          <w:p w14:paraId="362EEBA6"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24,762 (6.0%)</w:t>
            </w:r>
          </w:p>
        </w:tc>
        <w:tc>
          <w:tcPr>
            <w:tcW w:w="2126" w:type="dxa"/>
            <w:shd w:val="clear" w:color="auto" w:fill="auto"/>
            <w:vAlign w:val="center"/>
            <w:hideMark/>
          </w:tcPr>
          <w:p w14:paraId="411321FC"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65,758 (13.2%)</w:t>
            </w:r>
          </w:p>
        </w:tc>
        <w:tc>
          <w:tcPr>
            <w:tcW w:w="1984" w:type="dxa"/>
            <w:shd w:val="clear" w:color="auto" w:fill="auto"/>
            <w:vAlign w:val="center"/>
            <w:hideMark/>
          </w:tcPr>
          <w:p w14:paraId="160BA2DB"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+7.2</w:t>
            </w:r>
          </w:p>
        </w:tc>
      </w:tr>
      <w:tr w:rsidR="005712AF" w:rsidRPr="009F4711" w14:paraId="316FD5D1" w14:textId="77777777" w:rsidTr="000C6411">
        <w:trPr>
          <w:trHeight w:val="499"/>
        </w:trPr>
        <w:tc>
          <w:tcPr>
            <w:tcW w:w="0" w:type="auto"/>
            <w:shd w:val="clear" w:color="auto" w:fill="auto"/>
            <w:vAlign w:val="center"/>
            <w:hideMark/>
          </w:tcPr>
          <w:p w14:paraId="01DD9941" w14:textId="77777777" w:rsidR="005712AF" w:rsidRPr="00B255F0" w:rsidRDefault="005712AF" w:rsidP="000C6411">
            <w:pPr>
              <w:spacing w:after="0" w:line="240" w:lineRule="auto"/>
              <w:jc w:val="both"/>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Schleswig-Holstein</w:t>
            </w:r>
          </w:p>
        </w:tc>
        <w:tc>
          <w:tcPr>
            <w:tcW w:w="2170" w:type="dxa"/>
            <w:shd w:val="clear" w:color="auto" w:fill="auto"/>
            <w:vAlign w:val="center"/>
            <w:hideMark/>
          </w:tcPr>
          <w:p w14:paraId="2D4CFE73"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120,245 (12.4%)</w:t>
            </w:r>
          </w:p>
        </w:tc>
        <w:tc>
          <w:tcPr>
            <w:tcW w:w="2126" w:type="dxa"/>
            <w:shd w:val="clear" w:color="auto" w:fill="auto"/>
            <w:vAlign w:val="center"/>
            <w:hideMark/>
          </w:tcPr>
          <w:p w14:paraId="7DCA3F38"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391,868 (29.1%)</w:t>
            </w:r>
          </w:p>
        </w:tc>
        <w:tc>
          <w:tcPr>
            <w:tcW w:w="1984" w:type="dxa"/>
            <w:shd w:val="clear" w:color="auto" w:fill="auto"/>
            <w:vAlign w:val="center"/>
            <w:hideMark/>
          </w:tcPr>
          <w:p w14:paraId="52E83616"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+16.7</w:t>
            </w:r>
          </w:p>
        </w:tc>
      </w:tr>
      <w:tr w:rsidR="005712AF" w:rsidRPr="009F4711" w14:paraId="454966BE" w14:textId="77777777" w:rsidTr="000C6411">
        <w:trPr>
          <w:trHeight w:val="499"/>
        </w:trPr>
        <w:tc>
          <w:tcPr>
            <w:tcW w:w="0" w:type="auto"/>
            <w:shd w:val="clear" w:color="auto" w:fill="auto"/>
            <w:vAlign w:val="center"/>
            <w:hideMark/>
          </w:tcPr>
          <w:p w14:paraId="2A6A7504" w14:textId="77777777" w:rsidR="005712AF" w:rsidRPr="00B255F0" w:rsidRDefault="005712AF" w:rsidP="000C6411">
            <w:pPr>
              <w:spacing w:after="0" w:line="240" w:lineRule="auto"/>
              <w:jc w:val="both"/>
              <w:rPr>
                <w:rFonts w:ascii="Garamond" w:eastAsia="Times New Roman" w:hAnsi="Garamond" w:cs="Times New Roman"/>
                <w:b/>
                <w:bCs/>
                <w:color w:val="000000"/>
                <w:lang w:eastAsia="ru-RU"/>
              </w:rPr>
            </w:pPr>
            <w:r w:rsidRPr="00B255F0">
              <w:rPr>
                <w:rFonts w:ascii="Garamond" w:eastAsia="Times New Roman" w:hAnsi="Garamond" w:cs="Times New Roman"/>
                <w:b/>
                <w:bCs/>
                <w:color w:val="000000"/>
                <w:lang w:eastAsia="ru-RU"/>
              </w:rPr>
              <w:t>Average percentage:</w:t>
            </w:r>
          </w:p>
        </w:tc>
        <w:tc>
          <w:tcPr>
            <w:tcW w:w="2170" w:type="dxa"/>
            <w:shd w:val="clear" w:color="auto" w:fill="auto"/>
            <w:vAlign w:val="center"/>
            <w:hideMark/>
          </w:tcPr>
          <w:p w14:paraId="5117D5DF" w14:textId="77777777" w:rsidR="005712AF" w:rsidRPr="00B255F0" w:rsidRDefault="005712AF" w:rsidP="000C6411">
            <w:pPr>
              <w:spacing w:after="0" w:line="240" w:lineRule="auto"/>
              <w:jc w:val="center"/>
              <w:rPr>
                <w:rFonts w:ascii="Garamond" w:eastAsia="Times New Roman" w:hAnsi="Garamond" w:cs="Times New Roman"/>
                <w:b/>
                <w:bCs/>
                <w:color w:val="000000"/>
                <w:lang w:eastAsia="ru-RU"/>
              </w:rPr>
            </w:pPr>
            <w:r w:rsidRPr="00B255F0">
              <w:rPr>
                <w:rFonts w:ascii="Garamond" w:eastAsia="Times New Roman" w:hAnsi="Garamond" w:cs="Times New Roman"/>
                <w:b/>
                <w:bCs/>
                <w:color w:val="000000"/>
                <w:lang w:eastAsia="ru-RU"/>
              </w:rPr>
              <w:t>12.05%</w:t>
            </w:r>
          </w:p>
        </w:tc>
        <w:tc>
          <w:tcPr>
            <w:tcW w:w="2126" w:type="dxa"/>
            <w:shd w:val="clear" w:color="auto" w:fill="auto"/>
            <w:vAlign w:val="center"/>
            <w:hideMark/>
          </w:tcPr>
          <w:p w14:paraId="1A74A76D" w14:textId="77777777" w:rsidR="005712AF" w:rsidRPr="00B255F0" w:rsidRDefault="005712AF" w:rsidP="000C6411">
            <w:pPr>
              <w:spacing w:after="0" w:line="240" w:lineRule="auto"/>
              <w:jc w:val="center"/>
              <w:rPr>
                <w:rFonts w:ascii="Garamond" w:eastAsia="Times New Roman" w:hAnsi="Garamond" w:cs="Times New Roman"/>
                <w:b/>
                <w:bCs/>
                <w:color w:val="000000"/>
                <w:lang w:eastAsia="ru-RU"/>
              </w:rPr>
            </w:pPr>
            <w:r w:rsidRPr="00B255F0">
              <w:rPr>
                <w:rFonts w:ascii="Garamond" w:eastAsia="Times New Roman" w:hAnsi="Garamond" w:cs="Times New Roman"/>
                <w:b/>
                <w:bCs/>
                <w:color w:val="000000"/>
                <w:lang w:eastAsia="ru-RU"/>
              </w:rPr>
              <w:t>22.46%</w:t>
            </w:r>
          </w:p>
        </w:tc>
        <w:tc>
          <w:tcPr>
            <w:tcW w:w="1984" w:type="dxa"/>
            <w:shd w:val="clear" w:color="auto" w:fill="auto"/>
            <w:vAlign w:val="center"/>
            <w:hideMark/>
          </w:tcPr>
          <w:p w14:paraId="0847CB28" w14:textId="77777777" w:rsidR="005712AF" w:rsidRPr="00B255F0" w:rsidRDefault="005712AF" w:rsidP="000C6411">
            <w:pPr>
              <w:spacing w:after="0" w:line="240" w:lineRule="auto"/>
              <w:jc w:val="center"/>
              <w:rPr>
                <w:rFonts w:ascii="Garamond" w:eastAsia="Times New Roman" w:hAnsi="Garamond" w:cs="Times New Roman"/>
                <w:b/>
                <w:bCs/>
                <w:color w:val="000000"/>
                <w:lang w:eastAsia="ru-RU"/>
              </w:rPr>
            </w:pPr>
            <w:r>
              <w:rPr>
                <w:rFonts w:ascii="Garamond" w:eastAsia="Times New Roman" w:hAnsi="Garamond" w:cs="Times New Roman"/>
                <w:b/>
                <w:bCs/>
                <w:color w:val="000000"/>
                <w:lang w:eastAsia="ru-RU"/>
              </w:rPr>
              <w:t>+10.41</w:t>
            </w:r>
          </w:p>
        </w:tc>
      </w:tr>
    </w:tbl>
    <w:p w14:paraId="2BF75D1E" w14:textId="77777777" w:rsidR="005712AF" w:rsidRPr="007A232F" w:rsidRDefault="005712AF" w:rsidP="005712AF">
      <w:pPr>
        <w:spacing w:before="120" w:after="0" w:line="276" w:lineRule="auto"/>
        <w:jc w:val="both"/>
        <w:rPr>
          <w:rFonts w:ascii="Garamond" w:hAnsi="Garamond" w:cs="Times New Roman"/>
          <w:sz w:val="24"/>
          <w:szCs w:val="24"/>
          <w:lang w:val="en-US"/>
        </w:rPr>
      </w:pPr>
      <w:r w:rsidRPr="007A232F">
        <w:rPr>
          <w:rFonts w:ascii="Garamond" w:hAnsi="Garamond" w:cs="Times New Roman"/>
          <w:sz w:val="24"/>
          <w:szCs w:val="24"/>
          <w:lang w:val="en-US"/>
        </w:rPr>
        <w:t xml:space="preserve">Source: </w:t>
      </w:r>
      <w:r w:rsidRPr="007A232F">
        <w:rPr>
          <w:rFonts w:ascii="Garamond" w:hAnsi="Garamond" w:cs="Times New Roman"/>
          <w:color w:val="000000" w:themeColor="text1"/>
          <w:sz w:val="24"/>
          <w:szCs w:val="24"/>
          <w:lang w:val="en-US"/>
        </w:rPr>
        <w:t xml:space="preserve">Federal Returning Officer </w:t>
      </w:r>
      <w:r w:rsidRPr="007A232F">
        <w:rPr>
          <w:rFonts w:ascii="Garamond" w:hAnsi="Garamond" w:cs="Times New Roman"/>
          <w:sz w:val="24"/>
          <w:szCs w:val="24"/>
          <w:lang w:val="en-US"/>
        </w:rPr>
        <w:t>Federal Statistical Office (2019).</w:t>
      </w:r>
    </w:p>
    <w:p w14:paraId="4BBC166C" w14:textId="77777777" w:rsidR="005712AF" w:rsidRPr="00E56452" w:rsidRDefault="005712AF" w:rsidP="005712AF">
      <w:pPr>
        <w:spacing w:after="0" w:line="276" w:lineRule="auto"/>
        <w:rPr>
          <w:rFonts w:ascii="Garamond" w:hAnsi="Garamond" w:cs="Times New Roman"/>
          <w:b/>
          <w:i/>
          <w:sz w:val="24"/>
          <w:szCs w:val="24"/>
          <w:lang w:val="en-US"/>
        </w:rPr>
      </w:pPr>
    </w:p>
    <w:p w14:paraId="09B514DD" w14:textId="77777777" w:rsidR="005712AF" w:rsidRPr="00E56452" w:rsidRDefault="005712AF" w:rsidP="005712AF">
      <w:pPr>
        <w:spacing w:before="120" w:after="0" w:line="276" w:lineRule="auto"/>
        <w:jc w:val="both"/>
        <w:rPr>
          <w:rFonts w:ascii="Garamond" w:hAnsi="Garamond" w:cs="Times New Roman"/>
          <w:b/>
          <w:i/>
          <w:sz w:val="24"/>
          <w:szCs w:val="24"/>
          <w:lang w:val="en-US"/>
        </w:rPr>
      </w:pPr>
      <w:r w:rsidRPr="00E56452">
        <w:rPr>
          <w:rFonts w:ascii="Garamond" w:hAnsi="Garamond" w:cs="Times New Roman"/>
          <w:b/>
          <w:i/>
          <w:sz w:val="24"/>
          <w:szCs w:val="24"/>
          <w:lang w:val="en-US"/>
        </w:rPr>
        <w:t xml:space="preserve">2. </w:t>
      </w:r>
      <w:r w:rsidRPr="00E56452">
        <w:rPr>
          <w:rFonts w:ascii="Garamond" w:eastAsia="Times New Roman" w:hAnsi="Garamond" w:cs="Times New Roman"/>
          <w:b/>
          <w:i/>
          <w:sz w:val="24"/>
          <w:szCs w:val="24"/>
          <w:lang w:val="en-US" w:eastAsia="ru-RU"/>
        </w:rPr>
        <w:t xml:space="preserve">Operationalization of </w:t>
      </w:r>
      <w:r>
        <w:rPr>
          <w:rFonts w:ascii="Garamond" w:eastAsia="Times New Roman" w:hAnsi="Garamond" w:cs="Times New Roman"/>
          <w:b/>
          <w:i/>
          <w:sz w:val="24"/>
          <w:szCs w:val="24"/>
          <w:lang w:val="en-US" w:eastAsia="ru-RU"/>
        </w:rPr>
        <w:t xml:space="preserve">the </w:t>
      </w:r>
      <w:r w:rsidRPr="00E56452">
        <w:rPr>
          <w:rFonts w:ascii="Garamond" w:eastAsia="Times New Roman" w:hAnsi="Garamond" w:cs="Times New Roman"/>
          <w:b/>
          <w:i/>
          <w:sz w:val="24"/>
          <w:szCs w:val="24"/>
          <w:lang w:val="en-US" w:eastAsia="ru-RU"/>
        </w:rPr>
        <w:t>independent variables</w:t>
      </w:r>
    </w:p>
    <w:p w14:paraId="02EE1DC8" w14:textId="77777777" w:rsidR="005712AF" w:rsidRPr="00224C7E" w:rsidRDefault="005712AF" w:rsidP="005712AF">
      <w:pPr>
        <w:spacing w:before="240" w:after="120" w:line="360" w:lineRule="auto"/>
        <w:jc w:val="both"/>
        <w:rPr>
          <w:rFonts w:ascii="Garamond" w:eastAsia="Times New Roman" w:hAnsi="Garamond" w:cs="Times New Roman"/>
          <w:b/>
          <w:sz w:val="24"/>
          <w:szCs w:val="24"/>
          <w:lang w:val="en-US" w:eastAsia="ru-RU"/>
        </w:rPr>
      </w:pPr>
      <w:r w:rsidRPr="00224C7E">
        <w:rPr>
          <w:rFonts w:ascii="Garamond" w:hAnsi="Garamond" w:cs="Times New Roman"/>
          <w:b/>
          <w:sz w:val="24"/>
          <w:szCs w:val="24"/>
          <w:lang w:val="en-US"/>
        </w:rPr>
        <w:t xml:space="preserve">Table 2.1. </w:t>
      </w:r>
      <w:r w:rsidRPr="00224C7E">
        <w:rPr>
          <w:rFonts w:ascii="Garamond" w:eastAsia="Times New Roman" w:hAnsi="Garamond" w:cs="Times New Roman"/>
          <w:b/>
          <w:sz w:val="24"/>
          <w:szCs w:val="24"/>
          <w:lang w:val="en-US" w:eastAsia="ru-RU"/>
        </w:rPr>
        <w:t>Operationalization of the independent variables (</w:t>
      </w:r>
      <w:r w:rsidRPr="00224C7E">
        <w:rPr>
          <w:rFonts w:ascii="Garamond" w:eastAsia="Times New Roman" w:hAnsi="Garamond" w:cs="Times New Roman"/>
          <w:b/>
          <w:bCs/>
          <w:color w:val="000000"/>
          <w:sz w:val="24"/>
          <w:szCs w:val="24"/>
          <w:lang w:val="en-US" w:eastAsia="ru-RU"/>
        </w:rPr>
        <w:t>East-West divide</w:t>
      </w:r>
      <w:r w:rsidRPr="00224C7E">
        <w:rPr>
          <w:rFonts w:ascii="Garamond" w:eastAsia="Times New Roman" w:hAnsi="Garamond" w:cs="Times New Roman"/>
          <w:b/>
          <w:sz w:val="24"/>
          <w:szCs w:val="24"/>
          <w:lang w:val="en-US" w:eastAsia="ru-RU"/>
        </w:rPr>
        <w:t>)</w:t>
      </w:r>
    </w:p>
    <w:tbl>
      <w:tblPr>
        <w:tblW w:w="0" w:type="auto"/>
        <w:tblLook w:val="04A0" w:firstRow="1" w:lastRow="0" w:firstColumn="1" w:lastColumn="0" w:noHBand="0" w:noVBand="1"/>
      </w:tblPr>
      <w:tblGrid>
        <w:gridCol w:w="1306"/>
        <w:gridCol w:w="1025"/>
        <w:gridCol w:w="1633"/>
        <w:gridCol w:w="1571"/>
        <w:gridCol w:w="1548"/>
        <w:gridCol w:w="1411"/>
      </w:tblGrid>
      <w:tr w:rsidR="005712AF" w:rsidRPr="006E38C1" w14:paraId="2CB174BB" w14:textId="77777777" w:rsidTr="000C6411">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93DAE"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bookmarkStart w:id="0" w:name="RANGE!A1"/>
            <w:r w:rsidRPr="00B255F0">
              <w:rPr>
                <w:rFonts w:ascii="Garamond" w:eastAsia="Times New Roman" w:hAnsi="Garamond" w:cs="Times New Roman"/>
                <w:i/>
                <w:color w:val="000000"/>
                <w:lang w:eastAsia="ru-RU"/>
              </w:rPr>
              <w:t>Variable</w:t>
            </w:r>
            <w:bookmarkEnd w:id="0"/>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FDC49"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Categorical</w:t>
            </w:r>
          </w:p>
        </w:tc>
        <w:tc>
          <w:tcPr>
            <w:tcW w:w="4752" w:type="dxa"/>
            <w:gridSpan w:val="3"/>
            <w:tcBorders>
              <w:top w:val="single" w:sz="4" w:space="0" w:color="auto"/>
              <w:left w:val="nil"/>
              <w:bottom w:val="single" w:sz="4" w:space="0" w:color="auto"/>
              <w:right w:val="single" w:sz="4" w:space="0" w:color="auto"/>
            </w:tcBorders>
            <w:shd w:val="clear" w:color="auto" w:fill="auto"/>
            <w:vAlign w:val="center"/>
            <w:hideMark/>
          </w:tcPr>
          <w:p w14:paraId="5A729D19"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Interval</w:t>
            </w:r>
          </w:p>
        </w:tc>
        <w:tc>
          <w:tcPr>
            <w:tcW w:w="1411" w:type="dxa"/>
            <w:vMerge w:val="restart"/>
            <w:tcBorders>
              <w:top w:val="single" w:sz="4" w:space="0" w:color="auto"/>
              <w:left w:val="nil"/>
              <w:right w:val="single" w:sz="4" w:space="0" w:color="auto"/>
            </w:tcBorders>
            <w:vAlign w:val="center"/>
          </w:tcPr>
          <w:p w14:paraId="7A01A8B1"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val="en-US" w:eastAsia="ru-RU"/>
              </w:rPr>
              <w:t>Original coding</w:t>
            </w:r>
          </w:p>
        </w:tc>
      </w:tr>
      <w:tr w:rsidR="005712AF" w:rsidRPr="006E38C1" w14:paraId="56FF0FBE" w14:textId="77777777" w:rsidTr="000C6411">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7E919"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642A5"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1633" w:type="dxa"/>
            <w:tcBorders>
              <w:top w:val="nil"/>
              <w:left w:val="nil"/>
              <w:bottom w:val="single" w:sz="4" w:space="0" w:color="auto"/>
              <w:right w:val="single" w:sz="4" w:space="0" w:color="auto"/>
            </w:tcBorders>
            <w:shd w:val="clear" w:color="auto" w:fill="auto"/>
            <w:vAlign w:val="center"/>
            <w:hideMark/>
          </w:tcPr>
          <w:p w14:paraId="6D077042"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Degree of agreement with the statement         (1 - ‘totally agree’; 5 - ‘totally disagree’)</w:t>
            </w:r>
          </w:p>
        </w:tc>
        <w:tc>
          <w:tcPr>
            <w:tcW w:w="1571" w:type="dxa"/>
            <w:tcBorders>
              <w:top w:val="nil"/>
              <w:left w:val="nil"/>
              <w:bottom w:val="single" w:sz="4" w:space="0" w:color="auto"/>
              <w:right w:val="single" w:sz="4" w:space="0" w:color="auto"/>
            </w:tcBorders>
            <w:shd w:val="clear" w:color="auto" w:fill="auto"/>
            <w:vAlign w:val="center"/>
            <w:hideMark/>
          </w:tcPr>
          <w:p w14:paraId="516A7648"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Degree of respondent’s trust                                 (1 - ‘no trust’; 7 - ‘great trust’)</w:t>
            </w:r>
          </w:p>
        </w:tc>
        <w:tc>
          <w:tcPr>
            <w:tcW w:w="1548" w:type="dxa"/>
            <w:tcBorders>
              <w:top w:val="nil"/>
              <w:left w:val="nil"/>
              <w:bottom w:val="single" w:sz="4" w:space="0" w:color="auto"/>
              <w:right w:val="single" w:sz="4" w:space="0" w:color="auto"/>
            </w:tcBorders>
            <w:shd w:val="clear" w:color="auto" w:fill="auto"/>
            <w:vAlign w:val="center"/>
            <w:hideMark/>
          </w:tcPr>
          <w:p w14:paraId="7C488DFB"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Specific</w:t>
            </w:r>
          </w:p>
        </w:tc>
        <w:tc>
          <w:tcPr>
            <w:tcW w:w="1411" w:type="dxa"/>
            <w:vMerge/>
            <w:tcBorders>
              <w:left w:val="nil"/>
              <w:bottom w:val="single" w:sz="4" w:space="0" w:color="auto"/>
              <w:right w:val="single" w:sz="4" w:space="0" w:color="auto"/>
            </w:tcBorders>
            <w:vAlign w:val="center"/>
          </w:tcPr>
          <w:p w14:paraId="067BD09F"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p>
        </w:tc>
      </w:tr>
      <w:tr w:rsidR="005712AF" w:rsidRPr="006E38C1" w14:paraId="466F1BD7" w14:textId="77777777" w:rsidTr="000C6411">
        <w:trPr>
          <w:trHeight w:val="73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0BDDC5" w14:textId="77777777" w:rsidR="005712AF" w:rsidRPr="00B255F0" w:rsidRDefault="005712AF" w:rsidP="000C6411">
            <w:pPr>
              <w:spacing w:after="0" w:line="240" w:lineRule="auto"/>
              <w:jc w:val="center"/>
              <w:rPr>
                <w:rFonts w:ascii="Garamond" w:eastAsia="Times New Roman" w:hAnsi="Garamond" w:cs="Times New Roman"/>
                <w:b/>
                <w:bCs/>
                <w:color w:val="000000"/>
                <w:lang w:val="en-US" w:eastAsia="ru-RU"/>
              </w:rPr>
            </w:pPr>
            <w:r w:rsidRPr="00B255F0">
              <w:rPr>
                <w:rFonts w:ascii="Garamond" w:eastAsia="Times New Roman" w:hAnsi="Garamond" w:cs="Times New Roman"/>
                <w:color w:val="000000"/>
                <w:lang w:val="en-US" w:eastAsia="ru-RU"/>
              </w:rPr>
              <w:t>West Germany residence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4777B3"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Binary</w:t>
            </w:r>
          </w:p>
        </w:tc>
        <w:tc>
          <w:tcPr>
            <w:tcW w:w="1633" w:type="dxa"/>
            <w:tcBorders>
              <w:top w:val="nil"/>
              <w:left w:val="single" w:sz="4" w:space="0" w:color="auto"/>
              <w:bottom w:val="single" w:sz="4" w:space="0" w:color="auto"/>
              <w:right w:val="single" w:sz="4" w:space="0" w:color="auto"/>
            </w:tcBorders>
            <w:shd w:val="clear" w:color="auto" w:fill="auto"/>
            <w:vAlign w:val="center"/>
            <w:hideMark/>
          </w:tcPr>
          <w:p w14:paraId="0CC80385"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eastAsia="ru-RU"/>
              </w:rPr>
              <w:t> </w:t>
            </w:r>
            <w:r w:rsidRPr="00B255F0">
              <w:rPr>
                <w:rFonts w:ascii="Garamond" w:eastAsia="Times New Roman" w:hAnsi="Garamond" w:cs="Times New Roman"/>
                <w:color w:val="000000"/>
                <w:lang w:val="en-US" w:eastAsia="ru-RU"/>
              </w:rPr>
              <w:t>-</w:t>
            </w:r>
          </w:p>
        </w:tc>
        <w:tc>
          <w:tcPr>
            <w:tcW w:w="1571" w:type="dxa"/>
            <w:tcBorders>
              <w:top w:val="nil"/>
              <w:left w:val="single" w:sz="4" w:space="0" w:color="auto"/>
              <w:bottom w:val="single" w:sz="4" w:space="0" w:color="auto"/>
              <w:right w:val="single" w:sz="4" w:space="0" w:color="auto"/>
            </w:tcBorders>
            <w:shd w:val="clear" w:color="auto" w:fill="auto"/>
            <w:vAlign w:val="center"/>
            <w:hideMark/>
          </w:tcPr>
          <w:p w14:paraId="703BB199"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eastAsia="ru-RU"/>
              </w:rPr>
              <w:t> </w:t>
            </w:r>
            <w:r w:rsidRPr="00B255F0">
              <w:rPr>
                <w:rFonts w:ascii="Garamond" w:eastAsia="Times New Roman" w:hAnsi="Garamond" w:cs="Times New Roman"/>
                <w:color w:val="000000"/>
                <w:lang w:val="en-US" w:eastAsia="ru-RU"/>
              </w:rPr>
              <w:t>-</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3D1921D5"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val="en-US" w:eastAsia="ru-RU"/>
              </w:rPr>
              <w:t>-</w:t>
            </w:r>
            <w:r w:rsidRPr="00B255F0">
              <w:rPr>
                <w:rFonts w:ascii="Garamond" w:eastAsia="Times New Roman" w:hAnsi="Garamond" w:cs="Times New Roman"/>
                <w:color w:val="000000"/>
                <w:lang w:eastAsia="ru-RU"/>
              </w:rPr>
              <w:t> </w:t>
            </w:r>
          </w:p>
        </w:tc>
        <w:tc>
          <w:tcPr>
            <w:tcW w:w="1411" w:type="dxa"/>
            <w:tcBorders>
              <w:top w:val="single" w:sz="4" w:space="0" w:color="auto"/>
              <w:left w:val="single" w:sz="4" w:space="0" w:color="auto"/>
              <w:bottom w:val="single" w:sz="4" w:space="0" w:color="auto"/>
              <w:right w:val="single" w:sz="4" w:space="0" w:color="auto"/>
            </w:tcBorders>
            <w:vAlign w:val="center"/>
          </w:tcPr>
          <w:p w14:paraId="0833CDE9"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proofErr w:type="spellStart"/>
            <w:r w:rsidRPr="00B255F0">
              <w:rPr>
                <w:rFonts w:ascii="Garamond" w:eastAsia="Times New Roman" w:hAnsi="Garamond" w:cs="Times New Roman"/>
                <w:color w:val="000000"/>
                <w:lang w:val="en-US" w:eastAsia="ru-RU"/>
              </w:rPr>
              <w:t>eastwest</w:t>
            </w:r>
            <w:proofErr w:type="spellEnd"/>
          </w:p>
        </w:tc>
      </w:tr>
    </w:tbl>
    <w:p w14:paraId="2F8BE9CA" w14:textId="3D682A44" w:rsidR="005712AF" w:rsidRDefault="005712AF" w:rsidP="005712AF">
      <w:pPr>
        <w:spacing w:before="120" w:after="0" w:line="240" w:lineRule="auto"/>
        <w:rPr>
          <w:rFonts w:ascii="Garamond" w:eastAsia="Times New Roman" w:hAnsi="Garamond" w:cs="Times New Roman"/>
          <w:bCs/>
          <w:sz w:val="24"/>
          <w:szCs w:val="24"/>
          <w:lang w:val="en-US" w:eastAsia="ru-RU"/>
        </w:rPr>
      </w:pPr>
      <w:r w:rsidRPr="00526030">
        <w:rPr>
          <w:rFonts w:ascii="Garamond" w:eastAsia="Times New Roman" w:hAnsi="Garamond" w:cs="Times New Roman"/>
          <w:bCs/>
          <w:sz w:val="24"/>
          <w:szCs w:val="24"/>
          <w:lang w:val="en-US" w:eastAsia="ru-RU"/>
        </w:rPr>
        <w:t xml:space="preserve">Source: Author from ALLBUS 2018 Variable Report (Baumann, Schulz and </w:t>
      </w:r>
      <w:proofErr w:type="spellStart"/>
      <w:r w:rsidRPr="00526030">
        <w:rPr>
          <w:rFonts w:ascii="Garamond" w:eastAsia="Times New Roman" w:hAnsi="Garamond" w:cs="Times New Roman"/>
          <w:bCs/>
          <w:sz w:val="24"/>
          <w:szCs w:val="24"/>
          <w:lang w:val="en-US" w:eastAsia="ru-RU"/>
        </w:rPr>
        <w:t>Thiesen</w:t>
      </w:r>
      <w:proofErr w:type="spellEnd"/>
      <w:r w:rsidRPr="00526030">
        <w:rPr>
          <w:rFonts w:ascii="Garamond" w:eastAsia="Times New Roman" w:hAnsi="Garamond" w:cs="Times New Roman"/>
          <w:bCs/>
          <w:sz w:val="24"/>
          <w:szCs w:val="24"/>
          <w:lang w:val="en-US" w:eastAsia="ru-RU"/>
        </w:rPr>
        <w:t xml:space="preserve"> 2019, 5). </w:t>
      </w:r>
    </w:p>
    <w:p w14:paraId="2594A654" w14:textId="12112169" w:rsidR="005712AF" w:rsidRPr="006E38C1" w:rsidRDefault="005712AF" w:rsidP="005712AF">
      <w:pPr>
        <w:spacing w:before="240" w:after="120" w:line="240" w:lineRule="auto"/>
        <w:jc w:val="both"/>
        <w:rPr>
          <w:rFonts w:ascii="Garamond" w:eastAsia="Times New Roman" w:hAnsi="Garamond" w:cs="Times New Roman"/>
          <w:b/>
          <w:sz w:val="24"/>
          <w:szCs w:val="24"/>
          <w:lang w:val="en-US" w:eastAsia="ru-RU"/>
        </w:rPr>
      </w:pPr>
      <w:r w:rsidRPr="006E38C1">
        <w:rPr>
          <w:rFonts w:ascii="Garamond" w:hAnsi="Garamond" w:cs="Times New Roman"/>
          <w:b/>
          <w:sz w:val="24"/>
          <w:szCs w:val="24"/>
          <w:lang w:val="en-US"/>
        </w:rPr>
        <w:t>Table 2.</w:t>
      </w:r>
      <w:r w:rsidR="00D15178">
        <w:rPr>
          <w:rFonts w:ascii="Garamond" w:hAnsi="Garamond" w:cs="Times New Roman"/>
          <w:b/>
          <w:sz w:val="24"/>
          <w:szCs w:val="24"/>
          <w:lang w:val="en-US"/>
        </w:rPr>
        <w:t>2</w:t>
      </w:r>
      <w:r w:rsidRPr="006E38C1">
        <w:rPr>
          <w:rFonts w:ascii="Garamond" w:hAnsi="Garamond" w:cs="Times New Roman"/>
          <w:b/>
          <w:sz w:val="24"/>
          <w:szCs w:val="24"/>
          <w:lang w:val="en-US"/>
        </w:rPr>
        <w:t xml:space="preserve">. </w:t>
      </w:r>
      <w:r w:rsidRPr="006E38C1">
        <w:rPr>
          <w:rFonts w:ascii="Garamond" w:eastAsia="Times New Roman" w:hAnsi="Garamond" w:cs="Times New Roman"/>
          <w:b/>
          <w:sz w:val="24"/>
          <w:szCs w:val="24"/>
          <w:lang w:val="en-US" w:eastAsia="ru-RU"/>
        </w:rPr>
        <w:t>Operationalization of the independent variables (</w:t>
      </w:r>
      <w:r w:rsidRPr="006E38C1">
        <w:rPr>
          <w:rFonts w:ascii="Garamond" w:eastAsia="Times New Roman" w:hAnsi="Garamond" w:cs="Times New Roman"/>
          <w:b/>
          <w:bCs/>
          <w:color w:val="000000"/>
          <w:sz w:val="24"/>
          <w:szCs w:val="24"/>
          <w:lang w:val="en-US" w:eastAsia="ru-RU"/>
        </w:rPr>
        <w:t>Socio-demographic profile</w:t>
      </w:r>
      <w:r w:rsidRPr="006E38C1">
        <w:rPr>
          <w:rFonts w:ascii="Garamond" w:eastAsia="Times New Roman" w:hAnsi="Garamond" w:cs="Times New Roman"/>
          <w:b/>
          <w:sz w:val="24"/>
          <w:szCs w:val="24"/>
          <w:lang w:val="en-US" w:eastAsia="ru-RU"/>
        </w:rPr>
        <w:t>)</w:t>
      </w:r>
      <w:r w:rsidRPr="006E38C1">
        <w:rPr>
          <w:rStyle w:val="Odkaznapoznmkupodiarou"/>
          <w:rFonts w:ascii="Garamond" w:eastAsia="Times New Roman" w:hAnsi="Garamond" w:cs="Times New Roman"/>
          <w:b/>
          <w:sz w:val="24"/>
          <w:szCs w:val="24"/>
          <w:lang w:val="en-US" w:eastAsia="ru-RU"/>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92"/>
        <w:gridCol w:w="1448"/>
        <w:gridCol w:w="1448"/>
        <w:gridCol w:w="1447"/>
        <w:gridCol w:w="1442"/>
      </w:tblGrid>
      <w:tr w:rsidR="005712AF" w:rsidRPr="006E38C1" w14:paraId="688B321A" w14:textId="77777777" w:rsidTr="000C6411">
        <w:trPr>
          <w:trHeight w:val="283"/>
        </w:trPr>
        <w:tc>
          <w:tcPr>
            <w:tcW w:w="788" w:type="pct"/>
            <w:vMerge w:val="restart"/>
            <w:shd w:val="clear" w:color="auto" w:fill="auto"/>
            <w:vAlign w:val="center"/>
            <w:hideMark/>
          </w:tcPr>
          <w:p w14:paraId="52BDA3FB" w14:textId="77777777" w:rsidR="005712AF" w:rsidRPr="00B255F0" w:rsidRDefault="005712AF" w:rsidP="000C6411">
            <w:pPr>
              <w:spacing w:after="0" w:line="240" w:lineRule="auto"/>
              <w:jc w:val="center"/>
              <w:rPr>
                <w:rFonts w:ascii="Garamond" w:eastAsia="Times New Roman" w:hAnsi="Garamond" w:cs="Times New Roman"/>
                <w:i/>
                <w:color w:val="000000"/>
                <w:lang w:val="en-US" w:eastAsia="ru-RU"/>
              </w:rPr>
            </w:pPr>
            <w:r w:rsidRPr="00B255F0">
              <w:rPr>
                <w:rFonts w:ascii="Garamond" w:eastAsia="Times New Roman" w:hAnsi="Garamond" w:cs="Times New Roman"/>
                <w:i/>
                <w:color w:val="000000"/>
                <w:lang w:val="en-US" w:eastAsia="ru-RU"/>
              </w:rPr>
              <w:t>Variable</w:t>
            </w:r>
          </w:p>
        </w:tc>
        <w:tc>
          <w:tcPr>
            <w:tcW w:w="757" w:type="pct"/>
            <w:vMerge w:val="restart"/>
            <w:shd w:val="clear" w:color="auto" w:fill="auto"/>
            <w:vAlign w:val="center"/>
            <w:hideMark/>
          </w:tcPr>
          <w:p w14:paraId="5048A841" w14:textId="77777777" w:rsidR="005712AF" w:rsidRPr="00B255F0" w:rsidRDefault="005712AF" w:rsidP="000C6411">
            <w:pPr>
              <w:spacing w:after="0" w:line="240" w:lineRule="auto"/>
              <w:jc w:val="center"/>
              <w:rPr>
                <w:rFonts w:ascii="Garamond" w:eastAsia="Times New Roman" w:hAnsi="Garamond" w:cs="Times New Roman"/>
                <w:i/>
                <w:color w:val="000000"/>
                <w:lang w:val="en-US" w:eastAsia="ru-RU"/>
              </w:rPr>
            </w:pPr>
            <w:r w:rsidRPr="00B255F0">
              <w:rPr>
                <w:rFonts w:ascii="Garamond" w:eastAsia="Times New Roman" w:hAnsi="Garamond" w:cs="Times New Roman"/>
                <w:i/>
                <w:color w:val="000000"/>
                <w:lang w:val="en-US" w:eastAsia="ru-RU"/>
              </w:rPr>
              <w:t>Categorical</w:t>
            </w:r>
          </w:p>
        </w:tc>
        <w:tc>
          <w:tcPr>
            <w:tcW w:w="2594" w:type="pct"/>
            <w:gridSpan w:val="3"/>
            <w:shd w:val="clear" w:color="auto" w:fill="auto"/>
            <w:vAlign w:val="center"/>
            <w:hideMark/>
          </w:tcPr>
          <w:p w14:paraId="0E6B97D0" w14:textId="77777777" w:rsidR="005712AF" w:rsidRPr="00B255F0" w:rsidRDefault="005712AF" w:rsidP="000C6411">
            <w:pPr>
              <w:spacing w:after="0" w:line="240" w:lineRule="auto"/>
              <w:jc w:val="center"/>
              <w:rPr>
                <w:rFonts w:ascii="Garamond" w:eastAsia="Times New Roman" w:hAnsi="Garamond" w:cs="Times New Roman"/>
                <w:i/>
                <w:color w:val="000000"/>
                <w:lang w:val="en-US" w:eastAsia="ru-RU"/>
              </w:rPr>
            </w:pPr>
            <w:r w:rsidRPr="00B255F0">
              <w:rPr>
                <w:rFonts w:ascii="Garamond" w:eastAsia="Times New Roman" w:hAnsi="Garamond" w:cs="Times New Roman"/>
                <w:i/>
                <w:color w:val="000000"/>
                <w:lang w:val="en-US" w:eastAsia="ru-RU"/>
              </w:rPr>
              <w:t>Interval</w:t>
            </w:r>
          </w:p>
        </w:tc>
        <w:tc>
          <w:tcPr>
            <w:tcW w:w="861" w:type="pct"/>
            <w:vMerge w:val="restart"/>
            <w:vAlign w:val="center"/>
          </w:tcPr>
          <w:p w14:paraId="50ABC401" w14:textId="77777777" w:rsidR="005712AF" w:rsidRPr="00B255F0" w:rsidRDefault="005712AF" w:rsidP="000C6411">
            <w:pPr>
              <w:spacing w:after="0" w:line="240" w:lineRule="auto"/>
              <w:jc w:val="center"/>
              <w:rPr>
                <w:rFonts w:ascii="Garamond" w:eastAsia="Times New Roman" w:hAnsi="Garamond" w:cs="Times New Roman"/>
                <w:i/>
                <w:color w:val="000000"/>
                <w:lang w:val="en-US" w:eastAsia="ru-RU"/>
              </w:rPr>
            </w:pPr>
            <w:r w:rsidRPr="00B255F0">
              <w:rPr>
                <w:rFonts w:ascii="Garamond" w:eastAsia="Times New Roman" w:hAnsi="Garamond" w:cs="Times New Roman"/>
                <w:i/>
                <w:color w:val="000000"/>
                <w:lang w:val="en-US" w:eastAsia="ru-RU"/>
              </w:rPr>
              <w:t>Original coding</w:t>
            </w:r>
          </w:p>
        </w:tc>
      </w:tr>
      <w:tr w:rsidR="005712AF" w:rsidRPr="006E38C1" w14:paraId="1AC097D4" w14:textId="77777777" w:rsidTr="000C6411">
        <w:trPr>
          <w:trHeight w:val="1260"/>
        </w:trPr>
        <w:tc>
          <w:tcPr>
            <w:tcW w:w="788" w:type="pct"/>
            <w:vMerge/>
            <w:vAlign w:val="center"/>
            <w:hideMark/>
          </w:tcPr>
          <w:p w14:paraId="3F0E042F"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757" w:type="pct"/>
            <w:vMerge/>
            <w:vAlign w:val="center"/>
            <w:hideMark/>
          </w:tcPr>
          <w:p w14:paraId="17C358C4"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865" w:type="pct"/>
            <w:shd w:val="clear" w:color="auto" w:fill="auto"/>
            <w:vAlign w:val="center"/>
            <w:hideMark/>
          </w:tcPr>
          <w:p w14:paraId="3C311AF0"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Degree of agreement with the statement         (1 - ‘totally agree’; 5 - ‘totally disagree’)</w:t>
            </w:r>
          </w:p>
        </w:tc>
        <w:tc>
          <w:tcPr>
            <w:tcW w:w="865" w:type="pct"/>
            <w:shd w:val="clear" w:color="auto" w:fill="auto"/>
            <w:vAlign w:val="center"/>
            <w:hideMark/>
          </w:tcPr>
          <w:p w14:paraId="42E34AD2"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Degree of respondent’s trust                                 (1 - ‘no trust’; 7 - ‘great trust’)</w:t>
            </w:r>
          </w:p>
        </w:tc>
        <w:tc>
          <w:tcPr>
            <w:tcW w:w="864" w:type="pct"/>
            <w:shd w:val="clear" w:color="auto" w:fill="auto"/>
            <w:vAlign w:val="center"/>
            <w:hideMark/>
          </w:tcPr>
          <w:p w14:paraId="24BA27C4"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Specific</w:t>
            </w:r>
          </w:p>
        </w:tc>
        <w:tc>
          <w:tcPr>
            <w:tcW w:w="861" w:type="pct"/>
            <w:vMerge/>
            <w:vAlign w:val="center"/>
          </w:tcPr>
          <w:p w14:paraId="14945D00"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p>
        </w:tc>
      </w:tr>
      <w:tr w:rsidR="005712AF" w:rsidRPr="006E38C1" w14:paraId="41C9E68D" w14:textId="77777777" w:rsidTr="000C6411">
        <w:trPr>
          <w:trHeight w:val="567"/>
        </w:trPr>
        <w:tc>
          <w:tcPr>
            <w:tcW w:w="788" w:type="pct"/>
            <w:shd w:val="clear" w:color="auto" w:fill="auto"/>
            <w:vAlign w:val="center"/>
            <w:hideMark/>
          </w:tcPr>
          <w:p w14:paraId="698D56C9" w14:textId="77777777" w:rsidR="005712AF" w:rsidRPr="00B255F0" w:rsidRDefault="005712AF" w:rsidP="000C6411">
            <w:pPr>
              <w:spacing w:after="0" w:line="240" w:lineRule="auto"/>
              <w:jc w:val="center"/>
              <w:rPr>
                <w:rFonts w:ascii="Garamond" w:eastAsia="Times New Roman" w:hAnsi="Garamond" w:cs="Times New Roman"/>
                <w:b/>
                <w:bCs/>
                <w:color w:val="000000"/>
                <w:lang w:val="en-US" w:eastAsia="ru-RU"/>
              </w:rPr>
            </w:pPr>
            <w:r w:rsidRPr="00B255F0">
              <w:rPr>
                <w:rFonts w:ascii="Garamond" w:eastAsia="Times New Roman" w:hAnsi="Garamond" w:cs="Times New Roman"/>
                <w:color w:val="000000"/>
                <w:lang w:val="en-US" w:eastAsia="ru-RU"/>
              </w:rPr>
              <w:t>Female</w:t>
            </w:r>
          </w:p>
        </w:tc>
        <w:tc>
          <w:tcPr>
            <w:tcW w:w="757" w:type="pct"/>
            <w:shd w:val="clear" w:color="auto" w:fill="auto"/>
            <w:vAlign w:val="center"/>
            <w:hideMark/>
          </w:tcPr>
          <w:p w14:paraId="6E4754C1"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Binary</w:t>
            </w:r>
          </w:p>
        </w:tc>
        <w:tc>
          <w:tcPr>
            <w:tcW w:w="865" w:type="pct"/>
            <w:shd w:val="clear" w:color="auto" w:fill="auto"/>
            <w:vAlign w:val="center"/>
            <w:hideMark/>
          </w:tcPr>
          <w:p w14:paraId="418B53FE"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val="en-US" w:eastAsia="ru-RU"/>
              </w:rPr>
              <w:t>-</w:t>
            </w:r>
            <w:r w:rsidRPr="00B255F0">
              <w:rPr>
                <w:rFonts w:ascii="Garamond" w:eastAsia="Times New Roman" w:hAnsi="Garamond" w:cs="Times New Roman"/>
                <w:color w:val="000000"/>
                <w:lang w:eastAsia="ru-RU"/>
              </w:rPr>
              <w:t> </w:t>
            </w:r>
          </w:p>
        </w:tc>
        <w:tc>
          <w:tcPr>
            <w:tcW w:w="865" w:type="pct"/>
            <w:shd w:val="clear" w:color="auto" w:fill="auto"/>
            <w:vAlign w:val="center"/>
            <w:hideMark/>
          </w:tcPr>
          <w:p w14:paraId="1922160F"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val="en-US" w:eastAsia="ru-RU"/>
              </w:rPr>
              <w:t>-</w:t>
            </w:r>
            <w:r w:rsidRPr="00B255F0">
              <w:rPr>
                <w:rFonts w:ascii="Garamond" w:eastAsia="Times New Roman" w:hAnsi="Garamond" w:cs="Times New Roman"/>
                <w:color w:val="000000"/>
                <w:lang w:eastAsia="ru-RU"/>
              </w:rPr>
              <w:t> </w:t>
            </w:r>
          </w:p>
        </w:tc>
        <w:tc>
          <w:tcPr>
            <w:tcW w:w="864" w:type="pct"/>
            <w:shd w:val="clear" w:color="auto" w:fill="auto"/>
            <w:vAlign w:val="center"/>
            <w:hideMark/>
          </w:tcPr>
          <w:p w14:paraId="4BB50EAC"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val="en-US" w:eastAsia="ru-RU"/>
              </w:rPr>
              <w:t>-</w:t>
            </w:r>
            <w:r w:rsidRPr="00B255F0">
              <w:rPr>
                <w:rFonts w:ascii="Garamond" w:eastAsia="Times New Roman" w:hAnsi="Garamond" w:cs="Times New Roman"/>
                <w:color w:val="000000"/>
                <w:lang w:eastAsia="ru-RU"/>
              </w:rPr>
              <w:t> </w:t>
            </w:r>
          </w:p>
        </w:tc>
        <w:tc>
          <w:tcPr>
            <w:tcW w:w="861" w:type="pct"/>
            <w:shd w:val="clear" w:color="auto" w:fill="auto"/>
            <w:vAlign w:val="center"/>
          </w:tcPr>
          <w:p w14:paraId="7C00B26C"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sex</w:t>
            </w:r>
          </w:p>
        </w:tc>
      </w:tr>
      <w:tr w:rsidR="005712AF" w:rsidRPr="006E38C1" w14:paraId="04BB03B0" w14:textId="77777777" w:rsidTr="000C6411">
        <w:trPr>
          <w:trHeight w:val="624"/>
        </w:trPr>
        <w:tc>
          <w:tcPr>
            <w:tcW w:w="788" w:type="pct"/>
            <w:shd w:val="clear" w:color="auto" w:fill="auto"/>
            <w:vAlign w:val="center"/>
          </w:tcPr>
          <w:p w14:paraId="799E78E0"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Higher education</w:t>
            </w:r>
            <w:r w:rsidRPr="00B255F0">
              <w:rPr>
                <w:rStyle w:val="Odkaznapoznmkupodiarou"/>
                <w:rFonts w:ascii="Garamond" w:eastAsia="Times New Roman" w:hAnsi="Garamond" w:cs="Times New Roman"/>
                <w:color w:val="000000"/>
                <w:lang w:eastAsia="ru-RU"/>
              </w:rPr>
              <w:footnoteReference w:id="3"/>
            </w:r>
          </w:p>
        </w:tc>
        <w:tc>
          <w:tcPr>
            <w:tcW w:w="757" w:type="pct"/>
            <w:shd w:val="clear" w:color="auto" w:fill="auto"/>
            <w:vAlign w:val="center"/>
          </w:tcPr>
          <w:p w14:paraId="4F90186B"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xml:space="preserve"> Binary</w:t>
            </w:r>
          </w:p>
        </w:tc>
        <w:tc>
          <w:tcPr>
            <w:tcW w:w="865" w:type="pct"/>
            <w:shd w:val="clear" w:color="auto" w:fill="auto"/>
            <w:vAlign w:val="center"/>
          </w:tcPr>
          <w:p w14:paraId="6605A233"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65" w:type="pct"/>
            <w:shd w:val="clear" w:color="auto" w:fill="auto"/>
            <w:vAlign w:val="center"/>
          </w:tcPr>
          <w:p w14:paraId="012C7CDC"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64" w:type="pct"/>
            <w:shd w:val="clear" w:color="auto" w:fill="auto"/>
            <w:vAlign w:val="center"/>
          </w:tcPr>
          <w:p w14:paraId="22BEC0D7"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61" w:type="pct"/>
            <w:vAlign w:val="center"/>
          </w:tcPr>
          <w:p w14:paraId="0AF8C570"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iscd11</w:t>
            </w:r>
          </w:p>
        </w:tc>
      </w:tr>
      <w:tr w:rsidR="005712AF" w:rsidRPr="006E38C1" w14:paraId="2E2C592A" w14:textId="77777777" w:rsidTr="000C6411">
        <w:trPr>
          <w:trHeight w:val="1928"/>
        </w:trPr>
        <w:tc>
          <w:tcPr>
            <w:tcW w:w="788" w:type="pct"/>
            <w:shd w:val="clear" w:color="auto" w:fill="auto"/>
            <w:vAlign w:val="center"/>
            <w:hideMark/>
          </w:tcPr>
          <w:p w14:paraId="1589364B"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Age</w:t>
            </w:r>
            <w:r w:rsidRPr="00B255F0">
              <w:rPr>
                <w:rStyle w:val="Odkaznapoznmkupodiarou"/>
                <w:rFonts w:ascii="Garamond" w:eastAsia="Times New Roman" w:hAnsi="Garamond" w:cs="Times New Roman"/>
                <w:color w:val="000000"/>
                <w:lang w:eastAsia="ru-RU"/>
              </w:rPr>
              <w:footnoteReference w:id="4"/>
            </w:r>
          </w:p>
        </w:tc>
        <w:tc>
          <w:tcPr>
            <w:tcW w:w="757" w:type="pct"/>
            <w:shd w:val="clear" w:color="auto" w:fill="auto"/>
            <w:vAlign w:val="center"/>
            <w:hideMark/>
          </w:tcPr>
          <w:p w14:paraId="4BF491AE"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Young (18-29);             Upper-middle         (45-59);                      “NSM” generation        (60-74)</w:t>
            </w:r>
          </w:p>
        </w:tc>
        <w:tc>
          <w:tcPr>
            <w:tcW w:w="865" w:type="pct"/>
            <w:shd w:val="clear" w:color="auto" w:fill="auto"/>
            <w:vAlign w:val="center"/>
            <w:hideMark/>
          </w:tcPr>
          <w:p w14:paraId="0085ABC6"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65" w:type="pct"/>
            <w:shd w:val="clear" w:color="auto" w:fill="auto"/>
            <w:vAlign w:val="center"/>
            <w:hideMark/>
          </w:tcPr>
          <w:p w14:paraId="231B87C6"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64" w:type="pct"/>
            <w:shd w:val="clear" w:color="auto" w:fill="auto"/>
            <w:vAlign w:val="center"/>
            <w:hideMark/>
          </w:tcPr>
          <w:p w14:paraId="72347D49"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61" w:type="pct"/>
            <w:vAlign w:val="center"/>
          </w:tcPr>
          <w:p w14:paraId="62B7545D"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proofErr w:type="spellStart"/>
            <w:r w:rsidRPr="00B255F0">
              <w:rPr>
                <w:rFonts w:ascii="Garamond" w:eastAsia="Times New Roman" w:hAnsi="Garamond" w:cs="Times New Roman"/>
                <w:color w:val="000000"/>
                <w:lang w:val="en-US" w:eastAsia="ru-RU"/>
              </w:rPr>
              <w:t>agec</w:t>
            </w:r>
            <w:proofErr w:type="spellEnd"/>
          </w:p>
        </w:tc>
      </w:tr>
      <w:tr w:rsidR="005712AF" w:rsidRPr="006E38C1" w14:paraId="6D95C90E" w14:textId="77777777" w:rsidTr="000C6411">
        <w:trPr>
          <w:trHeight w:val="1531"/>
        </w:trPr>
        <w:tc>
          <w:tcPr>
            <w:tcW w:w="788" w:type="pct"/>
            <w:shd w:val="clear" w:color="auto" w:fill="auto"/>
            <w:vAlign w:val="center"/>
            <w:hideMark/>
          </w:tcPr>
          <w:p w14:paraId="766570E1"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Occupation</w:t>
            </w:r>
            <w:r w:rsidRPr="00B255F0">
              <w:rPr>
                <w:rStyle w:val="Odkaznapoznmkupodiarou"/>
                <w:rFonts w:ascii="Garamond" w:eastAsia="Times New Roman" w:hAnsi="Garamond" w:cs="Times New Roman"/>
                <w:color w:val="000000"/>
                <w:lang w:eastAsia="ru-RU"/>
              </w:rPr>
              <w:footnoteReference w:id="5"/>
            </w:r>
            <w:r w:rsidRPr="00B255F0">
              <w:rPr>
                <w:rFonts w:ascii="Garamond" w:eastAsia="Times New Roman" w:hAnsi="Garamond" w:cs="Times New Roman"/>
                <w:color w:val="000000"/>
                <w:lang w:eastAsia="ru-RU"/>
              </w:rPr>
              <w:t xml:space="preserve"> </w:t>
            </w:r>
          </w:p>
        </w:tc>
        <w:tc>
          <w:tcPr>
            <w:tcW w:w="757" w:type="pct"/>
            <w:shd w:val="clear" w:color="auto" w:fill="auto"/>
            <w:vAlign w:val="center"/>
            <w:hideMark/>
          </w:tcPr>
          <w:p w14:paraId="2CA852AA"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xml:space="preserve">Grey collars;                  Professionals;               White collars;             Self-employed; </w:t>
            </w:r>
            <w:r w:rsidRPr="00B255F0">
              <w:rPr>
                <w:rFonts w:ascii="Garamond" w:eastAsia="Times New Roman" w:hAnsi="Garamond" w:cs="Times New Roman"/>
                <w:iCs/>
                <w:color w:val="000000"/>
                <w:lang w:val="en-US" w:eastAsia="ru-RU"/>
              </w:rPr>
              <w:t>Students</w:t>
            </w:r>
          </w:p>
        </w:tc>
        <w:tc>
          <w:tcPr>
            <w:tcW w:w="865" w:type="pct"/>
            <w:shd w:val="clear" w:color="auto" w:fill="auto"/>
            <w:vAlign w:val="center"/>
            <w:hideMark/>
          </w:tcPr>
          <w:p w14:paraId="5077FF07"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65" w:type="pct"/>
            <w:shd w:val="clear" w:color="auto" w:fill="auto"/>
            <w:vAlign w:val="center"/>
            <w:hideMark/>
          </w:tcPr>
          <w:p w14:paraId="267F7D05"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64" w:type="pct"/>
            <w:shd w:val="clear" w:color="auto" w:fill="auto"/>
            <w:vAlign w:val="center"/>
            <w:hideMark/>
          </w:tcPr>
          <w:p w14:paraId="03EBFB9E"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61" w:type="pct"/>
            <w:shd w:val="clear" w:color="auto" w:fill="auto"/>
            <w:vAlign w:val="center"/>
          </w:tcPr>
          <w:p w14:paraId="0F2084DD"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proofErr w:type="spellStart"/>
            <w:r w:rsidRPr="00B255F0">
              <w:rPr>
                <w:rFonts w:ascii="Garamond" w:eastAsia="Times New Roman" w:hAnsi="Garamond" w:cs="Times New Roman"/>
                <w:color w:val="000000"/>
                <w:lang w:val="en-US" w:eastAsia="ru-RU"/>
              </w:rPr>
              <w:t>eseg</w:t>
            </w:r>
            <w:proofErr w:type="spellEnd"/>
          </w:p>
        </w:tc>
      </w:tr>
    </w:tbl>
    <w:p w14:paraId="264F15D3" w14:textId="6DAF6C6A" w:rsidR="005712AF" w:rsidRDefault="005712AF" w:rsidP="005712AF">
      <w:pPr>
        <w:spacing w:before="240" w:after="0" w:line="240" w:lineRule="auto"/>
        <w:rPr>
          <w:rFonts w:ascii="Garamond" w:eastAsia="Times New Roman" w:hAnsi="Garamond" w:cs="Times New Roman"/>
          <w:bCs/>
          <w:sz w:val="24"/>
          <w:szCs w:val="24"/>
          <w:lang w:val="en-US" w:eastAsia="ru-RU"/>
        </w:rPr>
      </w:pPr>
      <w:r w:rsidRPr="008F0648">
        <w:rPr>
          <w:rFonts w:ascii="Garamond" w:eastAsia="Times New Roman" w:hAnsi="Garamond" w:cs="Times New Roman"/>
          <w:bCs/>
          <w:sz w:val="24"/>
          <w:szCs w:val="24"/>
          <w:lang w:val="en-US" w:eastAsia="ru-RU"/>
        </w:rPr>
        <w:t>Source: Author from ALLBUS 2018 Variable Report (Bau</w:t>
      </w:r>
      <w:r>
        <w:rPr>
          <w:rFonts w:ascii="Garamond" w:eastAsia="Times New Roman" w:hAnsi="Garamond" w:cs="Times New Roman"/>
          <w:bCs/>
          <w:sz w:val="24"/>
          <w:szCs w:val="24"/>
          <w:lang w:val="en-US" w:eastAsia="ru-RU"/>
        </w:rPr>
        <w:t xml:space="preserve">mann, Schulz and </w:t>
      </w:r>
      <w:proofErr w:type="spellStart"/>
      <w:r>
        <w:rPr>
          <w:rFonts w:ascii="Garamond" w:eastAsia="Times New Roman" w:hAnsi="Garamond" w:cs="Times New Roman"/>
          <w:bCs/>
          <w:sz w:val="24"/>
          <w:szCs w:val="24"/>
          <w:lang w:val="en-US" w:eastAsia="ru-RU"/>
        </w:rPr>
        <w:t>Thiesen</w:t>
      </w:r>
      <w:proofErr w:type="spellEnd"/>
      <w:r>
        <w:rPr>
          <w:rFonts w:ascii="Garamond" w:eastAsia="Times New Roman" w:hAnsi="Garamond" w:cs="Times New Roman"/>
          <w:bCs/>
          <w:sz w:val="24"/>
          <w:szCs w:val="24"/>
          <w:lang w:val="en-US" w:eastAsia="ru-RU"/>
        </w:rPr>
        <w:t xml:space="preserve"> 2019</w:t>
      </w:r>
      <w:r w:rsidRPr="008F0648">
        <w:rPr>
          <w:rFonts w:ascii="Garamond" w:eastAsia="Times New Roman" w:hAnsi="Garamond" w:cs="Times New Roman"/>
          <w:bCs/>
          <w:sz w:val="24"/>
          <w:szCs w:val="24"/>
          <w:lang w:val="en-US" w:eastAsia="ru-RU"/>
        </w:rPr>
        <w:t xml:space="preserve">: </w:t>
      </w:r>
      <w:r w:rsidRPr="00D60470">
        <w:rPr>
          <w:rFonts w:ascii="Garamond" w:eastAsia="Times New Roman" w:hAnsi="Garamond" w:cs="Times New Roman"/>
          <w:bCs/>
          <w:sz w:val="24"/>
          <w:szCs w:val="24"/>
          <w:lang w:val="en-US" w:eastAsia="ru-RU"/>
        </w:rPr>
        <w:t xml:space="preserve">171, 175, </w:t>
      </w:r>
      <w:r>
        <w:rPr>
          <w:rFonts w:ascii="Garamond" w:eastAsia="Times New Roman" w:hAnsi="Garamond" w:cs="Times New Roman"/>
          <w:bCs/>
          <w:sz w:val="24"/>
          <w:szCs w:val="24"/>
          <w:lang w:val="en-US" w:eastAsia="ru-RU"/>
        </w:rPr>
        <w:t xml:space="preserve">212-215, </w:t>
      </w:r>
      <w:r w:rsidRPr="00D60470">
        <w:rPr>
          <w:rFonts w:ascii="Garamond" w:eastAsia="Times New Roman" w:hAnsi="Garamond" w:cs="Times New Roman"/>
          <w:bCs/>
          <w:sz w:val="24"/>
          <w:szCs w:val="24"/>
          <w:lang w:val="en-US" w:eastAsia="ru-RU"/>
        </w:rPr>
        <w:t>228-31).</w:t>
      </w:r>
      <w:r w:rsidRPr="008F0648">
        <w:rPr>
          <w:rFonts w:ascii="Garamond" w:eastAsia="Times New Roman" w:hAnsi="Garamond" w:cs="Times New Roman"/>
          <w:bCs/>
          <w:sz w:val="24"/>
          <w:szCs w:val="24"/>
          <w:lang w:val="en-US" w:eastAsia="ru-RU"/>
        </w:rPr>
        <w:t xml:space="preserve"> </w:t>
      </w:r>
    </w:p>
    <w:p w14:paraId="4304FD52" w14:textId="2E53F4F8" w:rsidR="005712AF" w:rsidRPr="000A3C8A" w:rsidRDefault="005712AF" w:rsidP="005712AF">
      <w:pPr>
        <w:spacing w:before="240" w:after="120" w:line="360" w:lineRule="auto"/>
        <w:jc w:val="both"/>
        <w:rPr>
          <w:rFonts w:ascii="Garamond" w:eastAsia="Times New Roman" w:hAnsi="Garamond" w:cs="Times New Roman"/>
          <w:b/>
          <w:sz w:val="24"/>
          <w:szCs w:val="24"/>
          <w:lang w:val="en-US" w:eastAsia="ru-RU"/>
        </w:rPr>
      </w:pPr>
      <w:r w:rsidRPr="000A3C8A">
        <w:rPr>
          <w:rFonts w:ascii="Garamond" w:hAnsi="Garamond" w:cs="Times New Roman"/>
          <w:b/>
          <w:sz w:val="24"/>
          <w:szCs w:val="24"/>
          <w:lang w:val="en-US"/>
        </w:rPr>
        <w:t xml:space="preserve">Table 2.3. </w:t>
      </w:r>
      <w:r w:rsidRPr="000A3C8A">
        <w:rPr>
          <w:rFonts w:ascii="Garamond" w:eastAsia="Times New Roman" w:hAnsi="Garamond" w:cs="Times New Roman"/>
          <w:b/>
          <w:sz w:val="24"/>
          <w:szCs w:val="24"/>
          <w:lang w:val="en-US" w:eastAsia="ru-RU"/>
        </w:rPr>
        <w:t>Operationalization of the independent variables (</w:t>
      </w:r>
      <w:r w:rsidRPr="000A3C8A">
        <w:rPr>
          <w:rFonts w:ascii="Garamond" w:eastAsia="Times New Roman" w:hAnsi="Garamond" w:cs="Times New Roman"/>
          <w:b/>
          <w:bCs/>
          <w:color w:val="000000"/>
          <w:sz w:val="24"/>
          <w:szCs w:val="20"/>
          <w:lang w:val="en-US" w:eastAsia="ru-RU"/>
        </w:rPr>
        <w:t>Values and political attitudes</w:t>
      </w:r>
      <w:r w:rsidRPr="000A3C8A">
        <w:rPr>
          <w:rFonts w:ascii="Garamond" w:eastAsia="Times New Roman" w:hAnsi="Garamond" w:cs="Times New Roman"/>
          <w:b/>
          <w:sz w:val="24"/>
          <w:szCs w:val="24"/>
          <w:lang w:val="en-US"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52"/>
        <w:gridCol w:w="1357"/>
        <w:gridCol w:w="1485"/>
        <w:gridCol w:w="1553"/>
        <w:gridCol w:w="1410"/>
      </w:tblGrid>
      <w:tr w:rsidR="005712AF" w:rsidRPr="003C6CF8" w14:paraId="233ED1D5" w14:textId="77777777" w:rsidTr="000C6411">
        <w:trPr>
          <w:trHeight w:val="283"/>
        </w:trPr>
        <w:tc>
          <w:tcPr>
            <w:tcW w:w="787" w:type="pct"/>
            <w:vMerge w:val="restart"/>
            <w:shd w:val="clear" w:color="auto" w:fill="auto"/>
            <w:vAlign w:val="center"/>
            <w:hideMark/>
          </w:tcPr>
          <w:p w14:paraId="3176F913"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Variable</w:t>
            </w:r>
          </w:p>
        </w:tc>
        <w:tc>
          <w:tcPr>
            <w:tcW w:w="796" w:type="pct"/>
            <w:vMerge w:val="restart"/>
            <w:shd w:val="clear" w:color="auto" w:fill="auto"/>
            <w:vAlign w:val="center"/>
            <w:hideMark/>
          </w:tcPr>
          <w:p w14:paraId="3C3E0FEA"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Categorical</w:t>
            </w:r>
          </w:p>
        </w:tc>
        <w:tc>
          <w:tcPr>
            <w:tcW w:w="2587" w:type="pct"/>
            <w:gridSpan w:val="3"/>
            <w:shd w:val="clear" w:color="auto" w:fill="auto"/>
            <w:vAlign w:val="center"/>
            <w:hideMark/>
          </w:tcPr>
          <w:p w14:paraId="33F55ED2"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Interval</w:t>
            </w:r>
          </w:p>
        </w:tc>
        <w:tc>
          <w:tcPr>
            <w:tcW w:w="830" w:type="pct"/>
            <w:vMerge w:val="restart"/>
            <w:vAlign w:val="center"/>
          </w:tcPr>
          <w:p w14:paraId="67437DD2" w14:textId="77777777" w:rsidR="005712AF" w:rsidRPr="00B255F0" w:rsidRDefault="005712AF" w:rsidP="000C6411">
            <w:pPr>
              <w:spacing w:after="0" w:line="240" w:lineRule="auto"/>
              <w:jc w:val="center"/>
              <w:rPr>
                <w:rFonts w:ascii="Garamond" w:eastAsia="Times New Roman" w:hAnsi="Garamond" w:cs="Times New Roman"/>
                <w:i/>
                <w:color w:val="000000"/>
                <w:lang w:val="en-US" w:eastAsia="ru-RU"/>
              </w:rPr>
            </w:pPr>
            <w:r w:rsidRPr="00B255F0">
              <w:rPr>
                <w:rFonts w:ascii="Garamond" w:eastAsia="Times New Roman" w:hAnsi="Garamond" w:cs="Times New Roman"/>
                <w:i/>
                <w:color w:val="000000"/>
                <w:lang w:val="en-US" w:eastAsia="ru-RU"/>
              </w:rPr>
              <w:t>Original coding</w:t>
            </w:r>
          </w:p>
        </w:tc>
      </w:tr>
      <w:tr w:rsidR="005712AF" w:rsidRPr="003C6CF8" w14:paraId="4AE261D0" w14:textId="77777777" w:rsidTr="000C6411">
        <w:trPr>
          <w:trHeight w:val="1260"/>
        </w:trPr>
        <w:tc>
          <w:tcPr>
            <w:tcW w:w="787" w:type="pct"/>
            <w:vMerge/>
            <w:vAlign w:val="center"/>
            <w:hideMark/>
          </w:tcPr>
          <w:p w14:paraId="3C04AB7A"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796" w:type="pct"/>
            <w:vMerge/>
            <w:vAlign w:val="center"/>
            <w:hideMark/>
          </w:tcPr>
          <w:p w14:paraId="1A332BA8"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799" w:type="pct"/>
            <w:shd w:val="clear" w:color="auto" w:fill="auto"/>
            <w:vAlign w:val="center"/>
            <w:hideMark/>
          </w:tcPr>
          <w:p w14:paraId="381E98AF"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Degree of agreement with the statement         (1 - ‘totally agree’; 5 - ‘totally disagree’)</w:t>
            </w:r>
          </w:p>
        </w:tc>
        <w:tc>
          <w:tcPr>
            <w:tcW w:w="874" w:type="pct"/>
            <w:shd w:val="clear" w:color="auto" w:fill="auto"/>
            <w:vAlign w:val="center"/>
            <w:hideMark/>
          </w:tcPr>
          <w:p w14:paraId="08D44473"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Degree of respondent’s trust                                 (1 - ‘no trust’; 7 - ‘great trust’)</w:t>
            </w:r>
          </w:p>
        </w:tc>
        <w:tc>
          <w:tcPr>
            <w:tcW w:w="914" w:type="pct"/>
            <w:shd w:val="clear" w:color="auto" w:fill="auto"/>
            <w:vAlign w:val="center"/>
            <w:hideMark/>
          </w:tcPr>
          <w:p w14:paraId="52529F35"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Specific</w:t>
            </w:r>
          </w:p>
        </w:tc>
        <w:tc>
          <w:tcPr>
            <w:tcW w:w="830" w:type="pct"/>
            <w:vMerge/>
            <w:vAlign w:val="center"/>
          </w:tcPr>
          <w:p w14:paraId="46B28D45"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p>
        </w:tc>
      </w:tr>
      <w:tr w:rsidR="005712AF" w:rsidRPr="003C6CF8" w14:paraId="3CDAF719" w14:textId="77777777" w:rsidTr="000C6411">
        <w:trPr>
          <w:trHeight w:val="1417"/>
        </w:trPr>
        <w:tc>
          <w:tcPr>
            <w:tcW w:w="787" w:type="pct"/>
            <w:shd w:val="clear" w:color="auto" w:fill="auto"/>
            <w:vAlign w:val="center"/>
            <w:hideMark/>
          </w:tcPr>
          <w:p w14:paraId="69CF48EB" w14:textId="77777777" w:rsidR="005712AF" w:rsidRPr="00B255F0" w:rsidRDefault="005712AF" w:rsidP="000C6411">
            <w:pPr>
              <w:spacing w:after="0" w:line="240" w:lineRule="auto"/>
              <w:jc w:val="center"/>
              <w:rPr>
                <w:rFonts w:ascii="Garamond" w:eastAsia="Times New Roman" w:hAnsi="Garamond" w:cs="Times New Roman"/>
                <w:b/>
                <w:bCs/>
                <w:color w:val="000000"/>
                <w:lang w:val="en-US" w:eastAsia="ru-RU"/>
              </w:rPr>
            </w:pPr>
            <w:r w:rsidRPr="00B255F0">
              <w:rPr>
                <w:rFonts w:ascii="Garamond" w:eastAsia="Times New Roman" w:hAnsi="Garamond" w:cs="Times New Roman"/>
                <w:color w:val="000000"/>
                <w:lang w:val="en-US" w:eastAsia="ru-RU"/>
              </w:rPr>
              <w:t xml:space="preserve">Ideological self-placement </w:t>
            </w:r>
          </w:p>
        </w:tc>
        <w:tc>
          <w:tcPr>
            <w:tcW w:w="796" w:type="pct"/>
            <w:shd w:val="clear" w:color="auto" w:fill="auto"/>
            <w:vAlign w:val="center"/>
            <w:hideMark/>
          </w:tcPr>
          <w:p w14:paraId="502D4FD6"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799" w:type="pct"/>
            <w:shd w:val="clear" w:color="auto" w:fill="auto"/>
            <w:vAlign w:val="center"/>
            <w:hideMark/>
          </w:tcPr>
          <w:p w14:paraId="755CB73B"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74" w:type="pct"/>
            <w:shd w:val="clear" w:color="auto" w:fill="auto"/>
            <w:vAlign w:val="center"/>
            <w:hideMark/>
          </w:tcPr>
          <w:p w14:paraId="00EE4142"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914" w:type="pct"/>
            <w:shd w:val="clear" w:color="auto" w:fill="auto"/>
            <w:vAlign w:val="center"/>
            <w:hideMark/>
          </w:tcPr>
          <w:p w14:paraId="4F4A26F7"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Respondent's self-placement on the left-right political scale                   (1 - “far left”; 10 - ‘far right’)</w:t>
            </w:r>
          </w:p>
        </w:tc>
        <w:tc>
          <w:tcPr>
            <w:tcW w:w="830" w:type="pct"/>
            <w:vAlign w:val="center"/>
          </w:tcPr>
          <w:p w14:paraId="6AC5AF17"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pa01</w:t>
            </w:r>
          </w:p>
        </w:tc>
      </w:tr>
      <w:tr w:rsidR="005712AF" w:rsidRPr="003C6CF8" w14:paraId="7C76E548" w14:textId="77777777" w:rsidTr="000C6411">
        <w:trPr>
          <w:trHeight w:val="1134"/>
        </w:trPr>
        <w:tc>
          <w:tcPr>
            <w:tcW w:w="787" w:type="pct"/>
            <w:shd w:val="clear" w:color="auto" w:fill="auto"/>
            <w:vAlign w:val="center"/>
            <w:hideMark/>
          </w:tcPr>
          <w:p w14:paraId="374649BB"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Post-material values absorbance</w:t>
            </w:r>
          </w:p>
        </w:tc>
        <w:tc>
          <w:tcPr>
            <w:tcW w:w="796" w:type="pct"/>
            <w:shd w:val="clear" w:color="auto" w:fill="auto"/>
            <w:vAlign w:val="center"/>
            <w:hideMark/>
          </w:tcPr>
          <w:p w14:paraId="1E8767FF"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eastAsia="ru-RU"/>
              </w:rPr>
              <w:t> </w:t>
            </w:r>
            <w:r w:rsidRPr="00B255F0">
              <w:rPr>
                <w:rFonts w:ascii="Garamond" w:eastAsia="Times New Roman" w:hAnsi="Garamond" w:cs="Times New Roman"/>
                <w:color w:val="000000"/>
                <w:lang w:val="en-US" w:eastAsia="ru-RU"/>
              </w:rPr>
              <w:t>-</w:t>
            </w:r>
          </w:p>
        </w:tc>
        <w:tc>
          <w:tcPr>
            <w:tcW w:w="799" w:type="pct"/>
            <w:shd w:val="clear" w:color="auto" w:fill="auto"/>
            <w:vAlign w:val="center"/>
            <w:hideMark/>
          </w:tcPr>
          <w:p w14:paraId="4BAD6C0A"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val="en-US" w:eastAsia="ru-RU"/>
              </w:rPr>
              <w:t>-</w:t>
            </w:r>
            <w:r w:rsidRPr="00B255F0">
              <w:rPr>
                <w:rFonts w:ascii="Garamond" w:eastAsia="Times New Roman" w:hAnsi="Garamond" w:cs="Times New Roman"/>
                <w:color w:val="000000"/>
                <w:lang w:eastAsia="ru-RU"/>
              </w:rPr>
              <w:t> </w:t>
            </w:r>
          </w:p>
        </w:tc>
        <w:tc>
          <w:tcPr>
            <w:tcW w:w="874" w:type="pct"/>
            <w:shd w:val="clear" w:color="auto" w:fill="auto"/>
            <w:vAlign w:val="center"/>
            <w:hideMark/>
          </w:tcPr>
          <w:p w14:paraId="5716A3A2"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eastAsia="ru-RU"/>
              </w:rPr>
              <w:t> </w:t>
            </w:r>
            <w:r w:rsidRPr="00B255F0">
              <w:rPr>
                <w:rFonts w:ascii="Garamond" w:eastAsia="Times New Roman" w:hAnsi="Garamond" w:cs="Times New Roman"/>
                <w:color w:val="000000"/>
                <w:lang w:val="en-US" w:eastAsia="ru-RU"/>
              </w:rPr>
              <w:t>-</w:t>
            </w:r>
          </w:p>
        </w:tc>
        <w:tc>
          <w:tcPr>
            <w:tcW w:w="914" w:type="pct"/>
            <w:shd w:val="clear" w:color="auto" w:fill="auto"/>
            <w:vAlign w:val="center"/>
            <w:hideMark/>
          </w:tcPr>
          <w:p w14:paraId="1A905C30"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Inglehart index                     (1 - ‘post-materialist’;         4 - ‘materialist’)</w:t>
            </w:r>
          </w:p>
        </w:tc>
        <w:tc>
          <w:tcPr>
            <w:tcW w:w="830" w:type="pct"/>
            <w:vAlign w:val="center"/>
          </w:tcPr>
          <w:p w14:paraId="2F2D6B37"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ingle</w:t>
            </w:r>
          </w:p>
        </w:tc>
      </w:tr>
      <w:tr w:rsidR="005712AF" w:rsidRPr="003C6CF8" w14:paraId="0DF58BA4" w14:textId="77777777" w:rsidTr="000C6411">
        <w:trPr>
          <w:trHeight w:val="1474"/>
        </w:trPr>
        <w:tc>
          <w:tcPr>
            <w:tcW w:w="787" w:type="pct"/>
            <w:shd w:val="clear" w:color="auto" w:fill="auto"/>
            <w:vAlign w:val="center"/>
            <w:hideMark/>
          </w:tcPr>
          <w:p w14:paraId="78470638"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Optimism towards immigrants’ influx</w:t>
            </w:r>
          </w:p>
        </w:tc>
        <w:tc>
          <w:tcPr>
            <w:tcW w:w="796" w:type="pct"/>
            <w:shd w:val="clear" w:color="auto" w:fill="auto"/>
            <w:vAlign w:val="center"/>
            <w:hideMark/>
          </w:tcPr>
          <w:p w14:paraId="57C69757"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eastAsia="ru-RU"/>
              </w:rPr>
              <w:t> </w:t>
            </w:r>
            <w:r w:rsidRPr="00B255F0">
              <w:rPr>
                <w:rFonts w:ascii="Garamond" w:eastAsia="Times New Roman" w:hAnsi="Garamond" w:cs="Times New Roman"/>
                <w:color w:val="000000"/>
                <w:lang w:val="en-US" w:eastAsia="ru-RU"/>
              </w:rPr>
              <w:t>-</w:t>
            </w:r>
          </w:p>
        </w:tc>
        <w:tc>
          <w:tcPr>
            <w:tcW w:w="799" w:type="pct"/>
            <w:shd w:val="clear" w:color="auto" w:fill="auto"/>
            <w:vAlign w:val="center"/>
            <w:hideMark/>
          </w:tcPr>
          <w:p w14:paraId="78A8CE53"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val="en-US" w:eastAsia="ru-RU"/>
              </w:rPr>
              <w:t>-</w:t>
            </w:r>
            <w:r w:rsidRPr="00B255F0">
              <w:rPr>
                <w:rFonts w:ascii="Garamond" w:eastAsia="Times New Roman" w:hAnsi="Garamond" w:cs="Times New Roman"/>
                <w:color w:val="000000"/>
                <w:lang w:eastAsia="ru-RU"/>
              </w:rPr>
              <w:t> </w:t>
            </w:r>
          </w:p>
        </w:tc>
        <w:tc>
          <w:tcPr>
            <w:tcW w:w="874" w:type="pct"/>
            <w:shd w:val="clear" w:color="auto" w:fill="auto"/>
            <w:vAlign w:val="center"/>
            <w:hideMark/>
          </w:tcPr>
          <w:p w14:paraId="7F0051AA"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val="en-US" w:eastAsia="ru-RU"/>
              </w:rPr>
              <w:t>-</w:t>
            </w:r>
            <w:r w:rsidRPr="00B255F0">
              <w:rPr>
                <w:rFonts w:ascii="Garamond" w:eastAsia="Times New Roman" w:hAnsi="Garamond" w:cs="Times New Roman"/>
                <w:color w:val="000000"/>
                <w:lang w:eastAsia="ru-RU"/>
              </w:rPr>
              <w:t> </w:t>
            </w:r>
          </w:p>
        </w:tc>
        <w:tc>
          <w:tcPr>
            <w:tcW w:w="914" w:type="pct"/>
            <w:shd w:val="clear" w:color="auto" w:fill="auto"/>
            <w:vAlign w:val="center"/>
            <w:hideMark/>
          </w:tcPr>
          <w:p w14:paraId="4A49EF5A"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Four-item index                  (values: 0-20):                                      (1 – ‘risk overweight’; 5 – ‘chance overweight’)</w:t>
            </w:r>
          </w:p>
        </w:tc>
        <w:tc>
          <w:tcPr>
            <w:tcW w:w="830" w:type="pct"/>
            <w:vAlign w:val="center"/>
          </w:tcPr>
          <w:p w14:paraId="11702EA2"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mp16,</w:t>
            </w:r>
          </w:p>
          <w:p w14:paraId="17B9B5A6"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mp17,</w:t>
            </w:r>
          </w:p>
          <w:p w14:paraId="4A7A6F01"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mp18,</w:t>
            </w:r>
          </w:p>
          <w:p w14:paraId="56016110"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mp19</w:t>
            </w:r>
          </w:p>
        </w:tc>
      </w:tr>
      <w:tr w:rsidR="005712AF" w:rsidRPr="003C6CF8" w14:paraId="6E3D9904" w14:textId="77777777" w:rsidTr="000C6411">
        <w:trPr>
          <w:trHeight w:val="1474"/>
        </w:trPr>
        <w:tc>
          <w:tcPr>
            <w:tcW w:w="787" w:type="pct"/>
            <w:shd w:val="clear" w:color="auto" w:fill="auto"/>
            <w:vAlign w:val="center"/>
            <w:hideMark/>
          </w:tcPr>
          <w:p w14:paraId="1FFACA7A"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Euro-optimism</w:t>
            </w:r>
          </w:p>
        </w:tc>
        <w:tc>
          <w:tcPr>
            <w:tcW w:w="796" w:type="pct"/>
            <w:shd w:val="clear" w:color="auto" w:fill="auto"/>
            <w:vAlign w:val="center"/>
            <w:hideMark/>
          </w:tcPr>
          <w:p w14:paraId="73367120"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val="en-US" w:eastAsia="ru-RU"/>
              </w:rPr>
              <w:t>-</w:t>
            </w:r>
            <w:r w:rsidRPr="00B255F0">
              <w:rPr>
                <w:rFonts w:ascii="Garamond" w:eastAsia="Times New Roman" w:hAnsi="Garamond" w:cs="Times New Roman"/>
                <w:color w:val="000000"/>
                <w:lang w:eastAsia="ru-RU"/>
              </w:rPr>
              <w:t> </w:t>
            </w:r>
          </w:p>
        </w:tc>
        <w:tc>
          <w:tcPr>
            <w:tcW w:w="799" w:type="pct"/>
            <w:shd w:val="clear" w:color="auto" w:fill="auto"/>
            <w:vAlign w:val="center"/>
            <w:hideMark/>
          </w:tcPr>
          <w:p w14:paraId="0A9ECB6B"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val="en-US" w:eastAsia="ru-RU"/>
              </w:rPr>
              <w:t>-</w:t>
            </w:r>
            <w:r w:rsidRPr="00B255F0">
              <w:rPr>
                <w:rFonts w:ascii="Garamond" w:eastAsia="Times New Roman" w:hAnsi="Garamond" w:cs="Times New Roman"/>
                <w:color w:val="000000"/>
                <w:lang w:eastAsia="ru-RU"/>
              </w:rPr>
              <w:t> </w:t>
            </w:r>
          </w:p>
        </w:tc>
        <w:tc>
          <w:tcPr>
            <w:tcW w:w="874" w:type="pct"/>
            <w:shd w:val="clear" w:color="auto" w:fill="auto"/>
            <w:vAlign w:val="center"/>
            <w:hideMark/>
          </w:tcPr>
          <w:p w14:paraId="08EE85D7"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Two-item index                              (values: 0-14):                                   European Commission; European Parliament</w:t>
            </w:r>
          </w:p>
        </w:tc>
        <w:tc>
          <w:tcPr>
            <w:tcW w:w="914" w:type="pct"/>
            <w:shd w:val="clear" w:color="auto" w:fill="auto"/>
            <w:vAlign w:val="center"/>
            <w:hideMark/>
          </w:tcPr>
          <w:p w14:paraId="419144E6"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30" w:type="pct"/>
            <w:vAlign w:val="center"/>
          </w:tcPr>
          <w:p w14:paraId="7D0D0371"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pt19,</w:t>
            </w:r>
          </w:p>
          <w:p w14:paraId="774A08B9"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pt20</w:t>
            </w:r>
          </w:p>
        </w:tc>
      </w:tr>
    </w:tbl>
    <w:p w14:paraId="4C241960" w14:textId="0B8E2D27" w:rsidR="005712AF" w:rsidRDefault="005712AF" w:rsidP="005712AF">
      <w:pPr>
        <w:spacing w:before="120" w:after="0" w:line="240" w:lineRule="auto"/>
        <w:rPr>
          <w:rFonts w:ascii="Garamond" w:eastAsia="Times New Roman" w:hAnsi="Garamond" w:cs="Times New Roman"/>
          <w:bCs/>
          <w:sz w:val="24"/>
          <w:szCs w:val="24"/>
          <w:lang w:val="en-US" w:eastAsia="ru-RU"/>
        </w:rPr>
      </w:pPr>
      <w:r w:rsidRPr="00C5306B">
        <w:rPr>
          <w:rFonts w:ascii="Garamond" w:eastAsia="Times New Roman" w:hAnsi="Garamond" w:cs="Times New Roman"/>
          <w:bCs/>
          <w:sz w:val="24"/>
          <w:szCs w:val="24"/>
          <w:lang w:val="en-US" w:eastAsia="ru-RU"/>
        </w:rPr>
        <w:t>Source: Author from ALLBUS 2018 Variable Report (Bau</w:t>
      </w:r>
      <w:r>
        <w:rPr>
          <w:rFonts w:ascii="Garamond" w:eastAsia="Times New Roman" w:hAnsi="Garamond" w:cs="Times New Roman"/>
          <w:bCs/>
          <w:sz w:val="24"/>
          <w:szCs w:val="24"/>
          <w:lang w:val="en-US" w:eastAsia="ru-RU"/>
        </w:rPr>
        <w:t xml:space="preserve">mann, Schulz and </w:t>
      </w:r>
      <w:proofErr w:type="spellStart"/>
      <w:r>
        <w:rPr>
          <w:rFonts w:ascii="Garamond" w:eastAsia="Times New Roman" w:hAnsi="Garamond" w:cs="Times New Roman"/>
          <w:bCs/>
          <w:sz w:val="24"/>
          <w:szCs w:val="24"/>
          <w:lang w:val="en-US" w:eastAsia="ru-RU"/>
        </w:rPr>
        <w:t>Thiesen</w:t>
      </w:r>
      <w:proofErr w:type="spellEnd"/>
      <w:r>
        <w:rPr>
          <w:rFonts w:ascii="Garamond" w:eastAsia="Times New Roman" w:hAnsi="Garamond" w:cs="Times New Roman"/>
          <w:bCs/>
          <w:sz w:val="24"/>
          <w:szCs w:val="24"/>
          <w:lang w:val="en-US" w:eastAsia="ru-RU"/>
        </w:rPr>
        <w:t xml:space="preserve"> 2019</w:t>
      </w:r>
      <w:r w:rsidRPr="00C5306B">
        <w:rPr>
          <w:rFonts w:ascii="Garamond" w:eastAsia="Times New Roman" w:hAnsi="Garamond" w:cs="Times New Roman"/>
          <w:bCs/>
          <w:sz w:val="24"/>
          <w:szCs w:val="24"/>
          <w:lang w:val="en-US" w:eastAsia="ru-RU"/>
        </w:rPr>
        <w:t>:</w:t>
      </w:r>
      <w:r>
        <w:rPr>
          <w:rFonts w:ascii="Garamond" w:eastAsia="Times New Roman" w:hAnsi="Garamond" w:cs="Times New Roman"/>
          <w:bCs/>
          <w:sz w:val="24"/>
          <w:szCs w:val="24"/>
          <w:lang w:val="en-US" w:eastAsia="ru-RU"/>
        </w:rPr>
        <w:t xml:space="preserve"> </w:t>
      </w:r>
      <w:r w:rsidRPr="0001661D">
        <w:rPr>
          <w:rFonts w:ascii="Garamond" w:eastAsia="Times New Roman" w:hAnsi="Garamond" w:cs="Times New Roman"/>
          <w:bCs/>
          <w:sz w:val="24"/>
          <w:szCs w:val="24"/>
          <w:lang w:val="en-US" w:eastAsia="ru-RU"/>
        </w:rPr>
        <w:t>80-81, 108, 109, 529-532</w:t>
      </w:r>
      <w:r w:rsidRPr="00C5306B">
        <w:rPr>
          <w:rFonts w:ascii="Garamond" w:eastAsia="Times New Roman" w:hAnsi="Garamond" w:cs="Times New Roman"/>
          <w:bCs/>
          <w:sz w:val="24"/>
          <w:szCs w:val="24"/>
          <w:lang w:val="en-US" w:eastAsia="ru-RU"/>
        </w:rPr>
        <w:t>).</w:t>
      </w:r>
    </w:p>
    <w:p w14:paraId="1FEE5982" w14:textId="74AC282D" w:rsidR="005712AF" w:rsidRPr="00D15178" w:rsidRDefault="005712AF" w:rsidP="005712AF">
      <w:pPr>
        <w:spacing w:before="240" w:after="120" w:line="360" w:lineRule="auto"/>
        <w:jc w:val="both"/>
        <w:rPr>
          <w:rFonts w:ascii="Garamond" w:eastAsia="Times New Roman" w:hAnsi="Garamond" w:cs="Times New Roman"/>
          <w:b/>
          <w:sz w:val="24"/>
          <w:szCs w:val="24"/>
          <w:lang w:val="en-US" w:eastAsia="ru-RU"/>
        </w:rPr>
      </w:pPr>
      <w:r w:rsidRPr="00B255F0">
        <w:rPr>
          <w:rFonts w:ascii="Garamond" w:hAnsi="Garamond" w:cs="Times New Roman"/>
          <w:b/>
          <w:sz w:val="24"/>
          <w:szCs w:val="24"/>
          <w:lang w:val="en-US"/>
        </w:rPr>
        <w:t xml:space="preserve">Table 2.4. </w:t>
      </w:r>
      <w:r w:rsidRPr="00B255F0">
        <w:rPr>
          <w:rFonts w:ascii="Garamond" w:eastAsia="Times New Roman" w:hAnsi="Garamond" w:cs="Times New Roman"/>
          <w:b/>
          <w:sz w:val="24"/>
          <w:szCs w:val="24"/>
          <w:lang w:val="en-US" w:eastAsia="ru-RU"/>
        </w:rPr>
        <w:t>Operationalization of the independent variables (</w:t>
      </w:r>
      <w:r w:rsidRPr="00B255F0">
        <w:rPr>
          <w:rFonts w:ascii="Garamond" w:eastAsia="Times New Roman" w:hAnsi="Garamond" w:cs="Times New Roman"/>
          <w:b/>
          <w:bCs/>
          <w:color w:val="000000"/>
          <w:sz w:val="24"/>
          <w:szCs w:val="24"/>
          <w:lang w:val="en-US" w:eastAsia="ru-RU"/>
        </w:rPr>
        <w:t>Economic orientations</w:t>
      </w:r>
      <w:r w:rsidRPr="00B255F0">
        <w:rPr>
          <w:rFonts w:ascii="Garamond" w:eastAsia="Times New Roman" w:hAnsi="Garamond" w:cs="Times New Roman"/>
          <w:b/>
          <w:sz w:val="24"/>
          <w:szCs w:val="24"/>
          <w:lang w:val="en-US"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417"/>
        <w:gridCol w:w="1418"/>
        <w:gridCol w:w="1536"/>
        <w:gridCol w:w="1434"/>
      </w:tblGrid>
      <w:tr w:rsidR="005712AF" w:rsidRPr="00B255F0" w14:paraId="5BED2DB1" w14:textId="77777777" w:rsidTr="000C6411">
        <w:trPr>
          <w:trHeight w:val="283"/>
        </w:trPr>
        <w:tc>
          <w:tcPr>
            <w:tcW w:w="832" w:type="pct"/>
            <w:vMerge w:val="restart"/>
            <w:shd w:val="clear" w:color="auto" w:fill="auto"/>
            <w:vAlign w:val="center"/>
            <w:hideMark/>
          </w:tcPr>
          <w:p w14:paraId="15EC9DB5"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Variable</w:t>
            </w:r>
          </w:p>
        </w:tc>
        <w:tc>
          <w:tcPr>
            <w:tcW w:w="751" w:type="pct"/>
            <w:vMerge w:val="restart"/>
            <w:shd w:val="clear" w:color="auto" w:fill="auto"/>
            <w:vAlign w:val="center"/>
            <w:hideMark/>
          </w:tcPr>
          <w:p w14:paraId="316AD530"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Categorical</w:t>
            </w:r>
          </w:p>
        </w:tc>
        <w:tc>
          <w:tcPr>
            <w:tcW w:w="2573" w:type="pct"/>
            <w:gridSpan w:val="3"/>
            <w:shd w:val="clear" w:color="auto" w:fill="auto"/>
            <w:vAlign w:val="center"/>
            <w:hideMark/>
          </w:tcPr>
          <w:p w14:paraId="6A816143" w14:textId="77777777" w:rsidR="005712AF" w:rsidRPr="00B255F0" w:rsidRDefault="005712AF" w:rsidP="000C6411">
            <w:pPr>
              <w:spacing w:after="0" w:line="240" w:lineRule="auto"/>
              <w:jc w:val="center"/>
              <w:rPr>
                <w:rFonts w:ascii="Garamond" w:eastAsia="Times New Roman" w:hAnsi="Garamond" w:cs="Times New Roman"/>
                <w:i/>
                <w:color w:val="000000"/>
                <w:lang w:eastAsia="ru-RU"/>
              </w:rPr>
            </w:pPr>
            <w:r w:rsidRPr="00B255F0">
              <w:rPr>
                <w:rFonts w:ascii="Garamond" w:eastAsia="Times New Roman" w:hAnsi="Garamond" w:cs="Times New Roman"/>
                <w:i/>
                <w:color w:val="000000"/>
                <w:lang w:eastAsia="ru-RU"/>
              </w:rPr>
              <w:t>Interval</w:t>
            </w:r>
          </w:p>
        </w:tc>
        <w:tc>
          <w:tcPr>
            <w:tcW w:w="844" w:type="pct"/>
            <w:vMerge w:val="restart"/>
            <w:vAlign w:val="center"/>
          </w:tcPr>
          <w:p w14:paraId="007D247B" w14:textId="77777777" w:rsidR="005712AF" w:rsidRPr="00B255F0" w:rsidRDefault="005712AF" w:rsidP="000C6411">
            <w:pPr>
              <w:spacing w:after="0" w:line="240" w:lineRule="auto"/>
              <w:jc w:val="center"/>
              <w:rPr>
                <w:rFonts w:ascii="Garamond" w:eastAsia="Times New Roman" w:hAnsi="Garamond" w:cs="Times New Roman"/>
                <w:i/>
                <w:color w:val="000000"/>
                <w:lang w:val="en-US" w:eastAsia="ru-RU"/>
              </w:rPr>
            </w:pPr>
            <w:r w:rsidRPr="00B255F0">
              <w:rPr>
                <w:rFonts w:ascii="Garamond" w:eastAsia="Times New Roman" w:hAnsi="Garamond" w:cs="Times New Roman"/>
                <w:i/>
                <w:color w:val="000000"/>
                <w:lang w:val="en-US" w:eastAsia="ru-RU"/>
              </w:rPr>
              <w:t>Original coding</w:t>
            </w:r>
          </w:p>
        </w:tc>
      </w:tr>
      <w:tr w:rsidR="005712AF" w:rsidRPr="00B255F0" w14:paraId="60CEEE24" w14:textId="77777777" w:rsidTr="000C6411">
        <w:trPr>
          <w:trHeight w:val="1260"/>
        </w:trPr>
        <w:tc>
          <w:tcPr>
            <w:tcW w:w="832" w:type="pct"/>
            <w:vMerge/>
            <w:vAlign w:val="center"/>
            <w:hideMark/>
          </w:tcPr>
          <w:p w14:paraId="34FEC32F"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751" w:type="pct"/>
            <w:vMerge/>
            <w:vAlign w:val="center"/>
            <w:hideMark/>
          </w:tcPr>
          <w:p w14:paraId="2C92A5E3" w14:textId="77777777" w:rsidR="005712AF" w:rsidRPr="00B255F0" w:rsidRDefault="005712AF" w:rsidP="000C6411">
            <w:pPr>
              <w:spacing w:after="0" w:line="240" w:lineRule="auto"/>
              <w:rPr>
                <w:rFonts w:ascii="Garamond" w:eastAsia="Times New Roman" w:hAnsi="Garamond" w:cs="Times New Roman"/>
                <w:color w:val="000000"/>
                <w:lang w:eastAsia="ru-RU"/>
              </w:rPr>
            </w:pPr>
          </w:p>
        </w:tc>
        <w:tc>
          <w:tcPr>
            <w:tcW w:w="834" w:type="pct"/>
            <w:shd w:val="clear" w:color="auto" w:fill="auto"/>
            <w:vAlign w:val="center"/>
            <w:hideMark/>
          </w:tcPr>
          <w:p w14:paraId="10F2B7B4"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Degree of agreement with the statement         (1 - ‘totally agree’; 5 - ‘totally disagree’)</w:t>
            </w:r>
          </w:p>
        </w:tc>
        <w:tc>
          <w:tcPr>
            <w:tcW w:w="835" w:type="pct"/>
            <w:shd w:val="clear" w:color="auto" w:fill="auto"/>
            <w:vAlign w:val="center"/>
            <w:hideMark/>
          </w:tcPr>
          <w:p w14:paraId="4A7E3DBF"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Degree of respondent’s trust                                 (1 - ‘no trust’; 7 - ‘great trust’)</w:t>
            </w:r>
          </w:p>
        </w:tc>
        <w:tc>
          <w:tcPr>
            <w:tcW w:w="904" w:type="pct"/>
            <w:shd w:val="clear" w:color="auto" w:fill="auto"/>
            <w:vAlign w:val="center"/>
            <w:hideMark/>
          </w:tcPr>
          <w:p w14:paraId="68139B8E"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r w:rsidRPr="00B255F0">
              <w:rPr>
                <w:rFonts w:ascii="Garamond" w:eastAsia="Times New Roman" w:hAnsi="Garamond" w:cs="Times New Roman"/>
                <w:color w:val="000000"/>
                <w:lang w:eastAsia="ru-RU"/>
              </w:rPr>
              <w:t>Specific</w:t>
            </w:r>
          </w:p>
        </w:tc>
        <w:tc>
          <w:tcPr>
            <w:tcW w:w="844" w:type="pct"/>
            <w:vMerge/>
            <w:vAlign w:val="center"/>
          </w:tcPr>
          <w:p w14:paraId="53438840" w14:textId="77777777" w:rsidR="005712AF" w:rsidRPr="00B255F0" w:rsidRDefault="005712AF" w:rsidP="000C6411">
            <w:pPr>
              <w:spacing w:after="0" w:line="240" w:lineRule="auto"/>
              <w:jc w:val="center"/>
              <w:rPr>
                <w:rFonts w:ascii="Garamond" w:eastAsia="Times New Roman" w:hAnsi="Garamond" w:cs="Times New Roman"/>
                <w:color w:val="000000"/>
                <w:lang w:eastAsia="ru-RU"/>
              </w:rPr>
            </w:pPr>
          </w:p>
        </w:tc>
      </w:tr>
      <w:tr w:rsidR="005712AF" w:rsidRPr="00B255F0" w14:paraId="286C4714" w14:textId="77777777" w:rsidTr="000C6411">
        <w:trPr>
          <w:trHeight w:val="1984"/>
        </w:trPr>
        <w:tc>
          <w:tcPr>
            <w:tcW w:w="832" w:type="pct"/>
            <w:shd w:val="clear" w:color="auto" w:fill="auto"/>
            <w:vAlign w:val="center"/>
            <w:hideMark/>
          </w:tcPr>
          <w:p w14:paraId="7D92D4AF" w14:textId="77777777" w:rsidR="005712AF" w:rsidRPr="00B255F0" w:rsidRDefault="005712AF" w:rsidP="000C6411">
            <w:pPr>
              <w:spacing w:after="0" w:line="240" w:lineRule="auto"/>
              <w:jc w:val="center"/>
              <w:rPr>
                <w:rFonts w:ascii="Garamond" w:eastAsia="Times New Roman" w:hAnsi="Garamond" w:cs="Times New Roman"/>
                <w:b/>
                <w:bCs/>
                <w:color w:val="000000"/>
                <w:lang w:val="en-US" w:eastAsia="ru-RU"/>
              </w:rPr>
            </w:pPr>
            <w:r w:rsidRPr="00B255F0">
              <w:rPr>
                <w:rFonts w:ascii="Garamond" w:eastAsia="Times New Roman" w:hAnsi="Garamond" w:cs="Times New Roman"/>
                <w:color w:val="000000"/>
                <w:lang w:val="en-US" w:eastAsia="ru-RU"/>
              </w:rPr>
              <w:lastRenderedPageBreak/>
              <w:t>Current economic situation:  FRG</w:t>
            </w:r>
          </w:p>
        </w:tc>
        <w:tc>
          <w:tcPr>
            <w:tcW w:w="751" w:type="pct"/>
            <w:shd w:val="clear" w:color="auto" w:fill="auto"/>
            <w:vAlign w:val="center"/>
            <w:hideMark/>
          </w:tcPr>
          <w:p w14:paraId="04F63636"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34" w:type="pct"/>
            <w:shd w:val="clear" w:color="auto" w:fill="auto"/>
            <w:vAlign w:val="center"/>
            <w:hideMark/>
          </w:tcPr>
          <w:p w14:paraId="748A7A2C"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35" w:type="pct"/>
            <w:shd w:val="clear" w:color="auto" w:fill="auto"/>
            <w:vAlign w:val="center"/>
            <w:hideMark/>
          </w:tcPr>
          <w:p w14:paraId="7F7DF1E7"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904" w:type="pct"/>
            <w:shd w:val="clear" w:color="auto" w:fill="auto"/>
            <w:vAlign w:val="center"/>
            <w:hideMark/>
          </w:tcPr>
          <w:p w14:paraId="1DB617F1"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xml:space="preserve">“How do you generally assess the current economic situation in Germany?”                                                     (1 – ‘very good’ to 5 - ‘very bad)                                         </w:t>
            </w:r>
          </w:p>
        </w:tc>
        <w:tc>
          <w:tcPr>
            <w:tcW w:w="844" w:type="pct"/>
            <w:vAlign w:val="center"/>
          </w:tcPr>
          <w:p w14:paraId="6DC1371D"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ep01</w:t>
            </w:r>
          </w:p>
        </w:tc>
      </w:tr>
      <w:tr w:rsidR="005712AF" w:rsidRPr="00B255F0" w14:paraId="2847076C" w14:textId="77777777" w:rsidTr="000C6411">
        <w:trPr>
          <w:trHeight w:val="1531"/>
        </w:trPr>
        <w:tc>
          <w:tcPr>
            <w:tcW w:w="832" w:type="pct"/>
            <w:shd w:val="clear" w:color="auto" w:fill="auto"/>
            <w:vAlign w:val="center"/>
            <w:hideMark/>
          </w:tcPr>
          <w:p w14:paraId="5CEF8156"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Social protection - primary state aim</w:t>
            </w:r>
          </w:p>
        </w:tc>
        <w:tc>
          <w:tcPr>
            <w:tcW w:w="751" w:type="pct"/>
            <w:shd w:val="clear" w:color="auto" w:fill="auto"/>
            <w:vAlign w:val="center"/>
            <w:hideMark/>
          </w:tcPr>
          <w:p w14:paraId="6B41AD7C"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34" w:type="pct"/>
            <w:shd w:val="clear" w:color="auto" w:fill="auto"/>
            <w:vAlign w:val="center"/>
            <w:hideMark/>
          </w:tcPr>
          <w:p w14:paraId="51A967CE"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“Social protection should be the main objective of government policy”</w:t>
            </w:r>
          </w:p>
        </w:tc>
        <w:tc>
          <w:tcPr>
            <w:tcW w:w="835" w:type="pct"/>
            <w:shd w:val="clear" w:color="auto" w:fill="auto"/>
            <w:vAlign w:val="center"/>
            <w:hideMark/>
          </w:tcPr>
          <w:p w14:paraId="6B002A1E"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904" w:type="pct"/>
            <w:shd w:val="clear" w:color="auto" w:fill="auto"/>
            <w:vAlign w:val="center"/>
            <w:hideMark/>
          </w:tcPr>
          <w:p w14:paraId="005CAA67"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 </w:t>
            </w:r>
          </w:p>
        </w:tc>
        <w:tc>
          <w:tcPr>
            <w:tcW w:w="844" w:type="pct"/>
            <w:vAlign w:val="center"/>
          </w:tcPr>
          <w:p w14:paraId="7E01DB4D" w14:textId="77777777" w:rsidR="005712AF" w:rsidRPr="00B255F0" w:rsidRDefault="005712AF" w:rsidP="000C6411">
            <w:pPr>
              <w:spacing w:after="0" w:line="240" w:lineRule="auto"/>
              <w:jc w:val="center"/>
              <w:rPr>
                <w:rFonts w:ascii="Garamond" w:eastAsia="Times New Roman" w:hAnsi="Garamond" w:cs="Times New Roman"/>
                <w:color w:val="000000"/>
                <w:lang w:val="en-US" w:eastAsia="ru-RU"/>
              </w:rPr>
            </w:pPr>
            <w:r w:rsidRPr="00B255F0">
              <w:rPr>
                <w:rFonts w:ascii="Garamond" w:eastAsia="Times New Roman" w:hAnsi="Garamond" w:cs="Times New Roman"/>
                <w:color w:val="000000"/>
                <w:lang w:val="en-US" w:eastAsia="ru-RU"/>
              </w:rPr>
              <w:t>pa15</w:t>
            </w:r>
          </w:p>
        </w:tc>
      </w:tr>
    </w:tbl>
    <w:p w14:paraId="47F4720E" w14:textId="405E8026" w:rsidR="005712AF" w:rsidRDefault="005712AF" w:rsidP="005712AF">
      <w:pPr>
        <w:spacing w:before="120" w:after="0" w:line="276" w:lineRule="auto"/>
        <w:rPr>
          <w:rFonts w:ascii="Garamond" w:eastAsia="Times New Roman" w:hAnsi="Garamond" w:cs="Times New Roman"/>
          <w:bCs/>
          <w:sz w:val="24"/>
          <w:szCs w:val="24"/>
          <w:lang w:val="en-US" w:eastAsia="ru-RU"/>
        </w:rPr>
      </w:pPr>
      <w:r w:rsidRPr="00C5306B">
        <w:rPr>
          <w:rFonts w:ascii="Garamond" w:eastAsia="Times New Roman" w:hAnsi="Garamond" w:cs="Times New Roman"/>
          <w:bCs/>
          <w:sz w:val="24"/>
          <w:szCs w:val="24"/>
          <w:lang w:val="en-US" w:eastAsia="ru-RU"/>
        </w:rPr>
        <w:t xml:space="preserve">Source: Author from ALLBUS 2018 Variable Report (Baumann, Schulz and </w:t>
      </w:r>
      <w:proofErr w:type="spellStart"/>
      <w:r w:rsidRPr="00C5306B">
        <w:rPr>
          <w:rFonts w:ascii="Garamond" w:eastAsia="Times New Roman" w:hAnsi="Garamond" w:cs="Times New Roman"/>
          <w:bCs/>
          <w:sz w:val="24"/>
          <w:szCs w:val="24"/>
          <w:lang w:val="en-US" w:eastAsia="ru-RU"/>
        </w:rPr>
        <w:t>Thiesen</w:t>
      </w:r>
      <w:proofErr w:type="spellEnd"/>
      <w:r w:rsidRPr="00C5306B">
        <w:rPr>
          <w:rFonts w:ascii="Garamond" w:eastAsia="Times New Roman" w:hAnsi="Garamond" w:cs="Times New Roman"/>
          <w:bCs/>
          <w:sz w:val="24"/>
          <w:szCs w:val="24"/>
          <w:lang w:val="en-US" w:eastAsia="ru-RU"/>
        </w:rPr>
        <w:t xml:space="preserve"> 201</w:t>
      </w:r>
      <w:r>
        <w:rPr>
          <w:rFonts w:ascii="Garamond" w:eastAsia="Times New Roman" w:hAnsi="Garamond" w:cs="Times New Roman"/>
          <w:bCs/>
          <w:sz w:val="24"/>
          <w:szCs w:val="24"/>
          <w:lang w:val="en-US" w:eastAsia="ru-RU"/>
        </w:rPr>
        <w:t>9</w:t>
      </w:r>
      <w:r w:rsidRPr="00C5306B">
        <w:rPr>
          <w:rFonts w:ascii="Garamond" w:eastAsia="Times New Roman" w:hAnsi="Garamond" w:cs="Times New Roman"/>
          <w:bCs/>
          <w:sz w:val="24"/>
          <w:szCs w:val="24"/>
          <w:lang w:val="en-US" w:eastAsia="ru-RU"/>
        </w:rPr>
        <w:t xml:space="preserve">: </w:t>
      </w:r>
      <w:r>
        <w:rPr>
          <w:rFonts w:ascii="Garamond" w:eastAsia="Times New Roman" w:hAnsi="Garamond" w:cs="Times New Roman"/>
          <w:bCs/>
          <w:sz w:val="24"/>
          <w:szCs w:val="24"/>
          <w:lang w:val="en-US" w:eastAsia="ru-RU"/>
        </w:rPr>
        <w:t>7</w:t>
      </w:r>
      <w:r w:rsidRPr="00C5306B">
        <w:rPr>
          <w:rFonts w:ascii="Garamond" w:eastAsia="Times New Roman" w:hAnsi="Garamond" w:cs="Times New Roman"/>
          <w:bCs/>
          <w:sz w:val="24"/>
          <w:szCs w:val="24"/>
          <w:lang w:val="en-US" w:eastAsia="ru-RU"/>
        </w:rPr>
        <w:t xml:space="preserve">, </w:t>
      </w:r>
      <w:r>
        <w:rPr>
          <w:rFonts w:ascii="Garamond" w:eastAsia="Times New Roman" w:hAnsi="Garamond" w:cs="Times New Roman"/>
          <w:bCs/>
          <w:sz w:val="24"/>
          <w:szCs w:val="24"/>
          <w:lang w:val="en-US" w:eastAsia="ru-RU"/>
        </w:rPr>
        <w:t>30</w:t>
      </w:r>
      <w:r w:rsidRPr="00C5306B">
        <w:rPr>
          <w:rFonts w:ascii="Garamond" w:eastAsia="Times New Roman" w:hAnsi="Garamond" w:cs="Times New Roman"/>
          <w:bCs/>
          <w:sz w:val="24"/>
          <w:szCs w:val="24"/>
          <w:lang w:val="en-US" w:eastAsia="ru-RU"/>
        </w:rPr>
        <w:t>).</w:t>
      </w:r>
    </w:p>
    <w:p w14:paraId="07C8694B" w14:textId="28974C41" w:rsidR="005712AF" w:rsidRPr="00E42AC3" w:rsidRDefault="00D15178" w:rsidP="005712AF">
      <w:pPr>
        <w:spacing w:before="240" w:after="120" w:line="276" w:lineRule="auto"/>
        <w:jc w:val="both"/>
        <w:rPr>
          <w:rFonts w:ascii="Garamond" w:eastAsia="Times New Roman" w:hAnsi="Garamond" w:cs="Times New Roman"/>
          <w:b/>
          <w:sz w:val="24"/>
          <w:szCs w:val="24"/>
          <w:lang w:val="en-US" w:eastAsia="ru-RU"/>
        </w:rPr>
      </w:pPr>
      <w:r>
        <w:rPr>
          <w:rFonts w:ascii="Garamond" w:hAnsi="Garamond" w:cs="Times New Roman"/>
          <w:b/>
          <w:sz w:val="24"/>
          <w:szCs w:val="24"/>
          <w:lang w:val="en-US"/>
        </w:rPr>
        <w:t>T</w:t>
      </w:r>
      <w:r w:rsidR="005712AF" w:rsidRPr="001F3370">
        <w:rPr>
          <w:rFonts w:ascii="Garamond" w:hAnsi="Garamond" w:cs="Times New Roman"/>
          <w:b/>
          <w:sz w:val="24"/>
          <w:szCs w:val="24"/>
          <w:lang w:val="en-US"/>
        </w:rPr>
        <w:t xml:space="preserve">able 2.5. </w:t>
      </w:r>
      <w:r w:rsidR="005712AF" w:rsidRPr="001F3370">
        <w:rPr>
          <w:rFonts w:ascii="Garamond" w:eastAsia="Times New Roman" w:hAnsi="Garamond" w:cs="Times New Roman"/>
          <w:b/>
          <w:sz w:val="24"/>
          <w:szCs w:val="24"/>
          <w:lang w:val="en-US" w:eastAsia="ru-RU"/>
        </w:rPr>
        <w:t>Operationalization of the independent variables (</w:t>
      </w:r>
      <w:r w:rsidR="005712AF">
        <w:rPr>
          <w:rFonts w:ascii="Garamond" w:hAnsi="Garamond" w:cs="Times New Roman"/>
          <w:b/>
          <w:sz w:val="24"/>
          <w:szCs w:val="24"/>
          <w:lang w:val="en-US"/>
        </w:rPr>
        <w:t>T</w:t>
      </w:r>
      <w:r w:rsidR="005712AF" w:rsidRPr="00D127E4">
        <w:rPr>
          <w:rFonts w:ascii="Garamond" w:hAnsi="Garamond" w:cs="Times New Roman"/>
          <w:b/>
          <w:sz w:val="24"/>
          <w:szCs w:val="24"/>
          <w:lang w:val="en-US"/>
        </w:rPr>
        <w:t>he drift of the traditional left parties’ voters and a ba</w:t>
      </w:r>
      <w:r w:rsidR="005712AF">
        <w:rPr>
          <w:rFonts w:ascii="Garamond" w:hAnsi="Garamond" w:cs="Times New Roman"/>
          <w:b/>
          <w:sz w:val="24"/>
          <w:szCs w:val="24"/>
          <w:lang w:val="en-US"/>
        </w:rPr>
        <w:t>cklash of cosmopolitan citizens</w:t>
      </w:r>
      <w:r w:rsidR="005712AF" w:rsidRPr="001F3370">
        <w:rPr>
          <w:rFonts w:ascii="Garamond" w:eastAsia="Times New Roman" w:hAnsi="Garamond" w:cs="Times New Roman"/>
          <w:b/>
          <w:sz w:val="24"/>
          <w:szCs w:val="24"/>
          <w:lang w:val="en-US" w:eastAsia="ru-RU"/>
        </w:rPr>
        <w:t>)</w:t>
      </w:r>
      <w:r w:rsidR="005712AF" w:rsidRPr="001F3370">
        <w:rPr>
          <w:rStyle w:val="Odkaznapoznmkupodiarou"/>
          <w:rFonts w:ascii="Garamond" w:eastAsia="Times New Roman" w:hAnsi="Garamond" w:cs="Times New Roman"/>
          <w:b/>
          <w:sz w:val="24"/>
          <w:szCs w:val="24"/>
          <w:lang w:val="en-US" w:eastAsia="ru-RU"/>
        </w:rPr>
        <w:footnoteReference w:id="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420"/>
        <w:gridCol w:w="1252"/>
        <w:gridCol w:w="1476"/>
        <w:gridCol w:w="1567"/>
        <w:gridCol w:w="1377"/>
      </w:tblGrid>
      <w:tr w:rsidR="005712AF" w:rsidRPr="001F3370" w14:paraId="361727FA" w14:textId="77777777" w:rsidTr="000C6411">
        <w:trPr>
          <w:trHeight w:val="283"/>
        </w:trPr>
        <w:tc>
          <w:tcPr>
            <w:tcW w:w="727" w:type="pct"/>
            <w:vMerge w:val="restart"/>
            <w:shd w:val="clear" w:color="auto" w:fill="auto"/>
            <w:vAlign w:val="center"/>
            <w:hideMark/>
          </w:tcPr>
          <w:p w14:paraId="2E7C0C6F" w14:textId="77777777" w:rsidR="005712AF" w:rsidRPr="001F3370" w:rsidRDefault="005712AF" w:rsidP="000C6411">
            <w:pPr>
              <w:spacing w:after="0" w:line="240" w:lineRule="auto"/>
              <w:jc w:val="center"/>
              <w:rPr>
                <w:rFonts w:ascii="Garamond" w:eastAsia="Times New Roman" w:hAnsi="Garamond" w:cs="Times New Roman"/>
                <w:i/>
                <w:color w:val="000000"/>
                <w:szCs w:val="20"/>
                <w:lang w:eastAsia="ru-RU"/>
              </w:rPr>
            </w:pPr>
            <w:r w:rsidRPr="001F3370">
              <w:rPr>
                <w:rFonts w:ascii="Garamond" w:eastAsia="Times New Roman" w:hAnsi="Garamond" w:cs="Times New Roman"/>
                <w:i/>
                <w:color w:val="000000"/>
                <w:szCs w:val="20"/>
                <w:lang w:eastAsia="ru-RU"/>
              </w:rPr>
              <w:t>Variable</w:t>
            </w:r>
          </w:p>
        </w:tc>
        <w:tc>
          <w:tcPr>
            <w:tcW w:w="856" w:type="pct"/>
            <w:vMerge w:val="restart"/>
            <w:shd w:val="clear" w:color="auto" w:fill="auto"/>
            <w:vAlign w:val="center"/>
            <w:hideMark/>
          </w:tcPr>
          <w:p w14:paraId="67F5BBEA" w14:textId="77777777" w:rsidR="005712AF" w:rsidRPr="001F3370" w:rsidRDefault="005712AF" w:rsidP="000C6411">
            <w:pPr>
              <w:spacing w:after="0" w:line="240" w:lineRule="auto"/>
              <w:jc w:val="center"/>
              <w:rPr>
                <w:rFonts w:ascii="Garamond" w:eastAsia="Times New Roman" w:hAnsi="Garamond" w:cs="Times New Roman"/>
                <w:i/>
                <w:color w:val="000000"/>
                <w:szCs w:val="20"/>
                <w:lang w:eastAsia="ru-RU"/>
              </w:rPr>
            </w:pPr>
            <w:r w:rsidRPr="001F3370">
              <w:rPr>
                <w:rFonts w:ascii="Garamond" w:eastAsia="Times New Roman" w:hAnsi="Garamond" w:cs="Times New Roman"/>
                <w:i/>
                <w:color w:val="000000"/>
                <w:szCs w:val="20"/>
                <w:lang w:eastAsia="ru-RU"/>
              </w:rPr>
              <w:t>Categorical</w:t>
            </w:r>
          </w:p>
        </w:tc>
        <w:tc>
          <w:tcPr>
            <w:tcW w:w="2587" w:type="pct"/>
            <w:gridSpan w:val="3"/>
            <w:shd w:val="clear" w:color="auto" w:fill="auto"/>
            <w:vAlign w:val="center"/>
            <w:hideMark/>
          </w:tcPr>
          <w:p w14:paraId="5936E5AF" w14:textId="77777777" w:rsidR="005712AF" w:rsidRPr="001F3370" w:rsidRDefault="005712AF" w:rsidP="000C6411">
            <w:pPr>
              <w:spacing w:after="0" w:line="240" w:lineRule="auto"/>
              <w:jc w:val="center"/>
              <w:rPr>
                <w:rFonts w:ascii="Garamond" w:eastAsia="Times New Roman" w:hAnsi="Garamond" w:cs="Times New Roman"/>
                <w:i/>
                <w:color w:val="000000"/>
                <w:szCs w:val="20"/>
                <w:lang w:eastAsia="ru-RU"/>
              </w:rPr>
            </w:pPr>
            <w:r w:rsidRPr="001F3370">
              <w:rPr>
                <w:rFonts w:ascii="Garamond" w:eastAsia="Times New Roman" w:hAnsi="Garamond" w:cs="Times New Roman"/>
                <w:i/>
                <w:color w:val="000000"/>
                <w:szCs w:val="20"/>
                <w:lang w:eastAsia="ru-RU"/>
              </w:rPr>
              <w:t>Interval</w:t>
            </w:r>
          </w:p>
        </w:tc>
        <w:tc>
          <w:tcPr>
            <w:tcW w:w="830" w:type="pct"/>
            <w:vMerge w:val="restart"/>
            <w:vAlign w:val="center"/>
          </w:tcPr>
          <w:p w14:paraId="2A165712" w14:textId="77777777" w:rsidR="005712AF" w:rsidRPr="001F3370" w:rsidRDefault="005712AF" w:rsidP="000C6411">
            <w:pPr>
              <w:spacing w:after="0" w:line="240" w:lineRule="auto"/>
              <w:jc w:val="center"/>
              <w:rPr>
                <w:rFonts w:ascii="Garamond" w:eastAsia="Times New Roman" w:hAnsi="Garamond" w:cs="Times New Roman"/>
                <w:i/>
                <w:color w:val="000000"/>
                <w:szCs w:val="20"/>
                <w:lang w:val="en-US" w:eastAsia="ru-RU"/>
              </w:rPr>
            </w:pPr>
            <w:r w:rsidRPr="001F3370">
              <w:rPr>
                <w:rFonts w:ascii="Garamond" w:eastAsia="Times New Roman" w:hAnsi="Garamond" w:cs="Times New Roman"/>
                <w:i/>
                <w:color w:val="000000"/>
                <w:szCs w:val="20"/>
                <w:lang w:val="en-US" w:eastAsia="ru-RU"/>
              </w:rPr>
              <w:t>Original coding</w:t>
            </w:r>
          </w:p>
        </w:tc>
      </w:tr>
      <w:tr w:rsidR="005712AF" w:rsidRPr="001F3370" w14:paraId="00FABEC0" w14:textId="77777777" w:rsidTr="000C6411">
        <w:trPr>
          <w:trHeight w:val="850"/>
        </w:trPr>
        <w:tc>
          <w:tcPr>
            <w:tcW w:w="727" w:type="pct"/>
            <w:vMerge/>
            <w:vAlign w:val="center"/>
            <w:hideMark/>
          </w:tcPr>
          <w:p w14:paraId="316584E0" w14:textId="77777777" w:rsidR="005712AF" w:rsidRPr="001F3370" w:rsidRDefault="005712AF" w:rsidP="000C6411">
            <w:pPr>
              <w:spacing w:after="0" w:line="240" w:lineRule="auto"/>
              <w:rPr>
                <w:rFonts w:ascii="Garamond" w:eastAsia="Times New Roman" w:hAnsi="Garamond" w:cs="Times New Roman"/>
                <w:color w:val="000000"/>
                <w:szCs w:val="20"/>
                <w:lang w:eastAsia="ru-RU"/>
              </w:rPr>
            </w:pPr>
          </w:p>
        </w:tc>
        <w:tc>
          <w:tcPr>
            <w:tcW w:w="856" w:type="pct"/>
            <w:vMerge/>
            <w:vAlign w:val="center"/>
            <w:hideMark/>
          </w:tcPr>
          <w:p w14:paraId="1EA76429" w14:textId="77777777" w:rsidR="005712AF" w:rsidRPr="001F3370" w:rsidRDefault="005712AF" w:rsidP="000C6411">
            <w:pPr>
              <w:spacing w:after="0" w:line="240" w:lineRule="auto"/>
              <w:rPr>
                <w:rFonts w:ascii="Garamond" w:eastAsia="Times New Roman" w:hAnsi="Garamond" w:cs="Times New Roman"/>
                <w:color w:val="000000"/>
                <w:szCs w:val="20"/>
                <w:lang w:eastAsia="ru-RU"/>
              </w:rPr>
            </w:pPr>
          </w:p>
        </w:tc>
        <w:tc>
          <w:tcPr>
            <w:tcW w:w="757" w:type="pct"/>
            <w:shd w:val="clear" w:color="auto" w:fill="auto"/>
            <w:vAlign w:val="center"/>
            <w:hideMark/>
          </w:tcPr>
          <w:p w14:paraId="16BA4A1F"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Degree of agreement with the statement         (1 - ‘totally agree’; 5 - ‘totally disagree’)</w:t>
            </w:r>
          </w:p>
        </w:tc>
        <w:tc>
          <w:tcPr>
            <w:tcW w:w="888" w:type="pct"/>
            <w:shd w:val="clear" w:color="auto" w:fill="auto"/>
            <w:vAlign w:val="center"/>
            <w:hideMark/>
          </w:tcPr>
          <w:p w14:paraId="03BA36D8"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Degree of respondent’s trust                                 (1 - ‘no trust’; 7 - ‘great trust’)</w:t>
            </w:r>
          </w:p>
        </w:tc>
        <w:tc>
          <w:tcPr>
            <w:tcW w:w="942" w:type="pct"/>
            <w:shd w:val="clear" w:color="auto" w:fill="auto"/>
            <w:vAlign w:val="center"/>
            <w:hideMark/>
          </w:tcPr>
          <w:p w14:paraId="19D6BD0F" w14:textId="77777777" w:rsidR="005712AF" w:rsidRPr="001F3370" w:rsidRDefault="005712AF" w:rsidP="000C6411">
            <w:pPr>
              <w:spacing w:after="0" w:line="240" w:lineRule="auto"/>
              <w:jc w:val="center"/>
              <w:rPr>
                <w:rFonts w:ascii="Garamond" w:eastAsia="Times New Roman" w:hAnsi="Garamond" w:cs="Times New Roman"/>
                <w:color w:val="000000"/>
                <w:szCs w:val="20"/>
                <w:lang w:eastAsia="ru-RU"/>
              </w:rPr>
            </w:pPr>
            <w:r w:rsidRPr="001F3370">
              <w:rPr>
                <w:rFonts w:ascii="Garamond" w:eastAsia="Times New Roman" w:hAnsi="Garamond" w:cs="Times New Roman"/>
                <w:color w:val="000000"/>
                <w:szCs w:val="20"/>
                <w:lang w:eastAsia="ru-RU"/>
              </w:rPr>
              <w:t>Specific</w:t>
            </w:r>
          </w:p>
        </w:tc>
        <w:tc>
          <w:tcPr>
            <w:tcW w:w="830" w:type="pct"/>
            <w:vMerge/>
            <w:vAlign w:val="center"/>
          </w:tcPr>
          <w:p w14:paraId="5E1FB1F4" w14:textId="77777777" w:rsidR="005712AF" w:rsidRPr="001F3370" w:rsidRDefault="005712AF" w:rsidP="000C6411">
            <w:pPr>
              <w:spacing w:after="0" w:line="240" w:lineRule="auto"/>
              <w:jc w:val="center"/>
              <w:rPr>
                <w:rFonts w:ascii="Garamond" w:eastAsia="Times New Roman" w:hAnsi="Garamond" w:cs="Times New Roman"/>
                <w:color w:val="000000"/>
                <w:szCs w:val="20"/>
                <w:lang w:eastAsia="ru-RU"/>
              </w:rPr>
            </w:pPr>
          </w:p>
        </w:tc>
      </w:tr>
      <w:tr w:rsidR="005712AF" w:rsidRPr="001F3370" w14:paraId="69A80047" w14:textId="77777777" w:rsidTr="000C6411">
        <w:trPr>
          <w:trHeight w:val="567"/>
        </w:trPr>
        <w:tc>
          <w:tcPr>
            <w:tcW w:w="727" w:type="pct"/>
            <w:shd w:val="clear" w:color="auto" w:fill="auto"/>
            <w:vAlign w:val="center"/>
            <w:hideMark/>
          </w:tcPr>
          <w:p w14:paraId="2E748ED0" w14:textId="77777777" w:rsidR="005712AF" w:rsidRPr="001F3370" w:rsidRDefault="005712AF" w:rsidP="000C6411">
            <w:pPr>
              <w:spacing w:after="0" w:line="240" w:lineRule="auto"/>
              <w:jc w:val="center"/>
              <w:rPr>
                <w:rFonts w:ascii="Garamond" w:eastAsia="Times New Roman" w:hAnsi="Garamond" w:cs="Times New Roman"/>
                <w:b/>
                <w:bCs/>
                <w:color w:val="000000"/>
                <w:szCs w:val="20"/>
                <w:lang w:val="en-US" w:eastAsia="ru-RU"/>
              </w:rPr>
            </w:pPr>
            <w:r w:rsidRPr="001F3370">
              <w:rPr>
                <w:rFonts w:ascii="Garamond" w:eastAsia="Times New Roman" w:hAnsi="Garamond" w:cs="Times New Roman"/>
                <w:color w:val="000000"/>
                <w:szCs w:val="20"/>
                <w:lang w:val="en-US" w:eastAsia="ru-RU"/>
              </w:rPr>
              <w:t>Party identification</w:t>
            </w:r>
            <w:r w:rsidRPr="001F3370">
              <w:rPr>
                <w:rStyle w:val="Odkaznapoznmkupodiarou"/>
                <w:rFonts w:ascii="Garamond" w:eastAsia="Times New Roman" w:hAnsi="Garamond" w:cs="Times New Roman"/>
                <w:color w:val="000000"/>
                <w:szCs w:val="20"/>
                <w:lang w:val="en-US" w:eastAsia="ru-RU"/>
              </w:rPr>
              <w:footnoteReference w:id="7"/>
            </w:r>
          </w:p>
        </w:tc>
        <w:tc>
          <w:tcPr>
            <w:tcW w:w="856" w:type="pct"/>
            <w:shd w:val="clear" w:color="auto" w:fill="auto"/>
            <w:vAlign w:val="center"/>
            <w:hideMark/>
          </w:tcPr>
          <w:p w14:paraId="48978AD8"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 xml:space="preserve">SPD;                The Left;                       </w:t>
            </w:r>
          </w:p>
        </w:tc>
        <w:tc>
          <w:tcPr>
            <w:tcW w:w="757" w:type="pct"/>
            <w:shd w:val="clear" w:color="auto" w:fill="auto"/>
            <w:vAlign w:val="center"/>
            <w:hideMark/>
          </w:tcPr>
          <w:p w14:paraId="78B6582B"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 -</w:t>
            </w:r>
          </w:p>
        </w:tc>
        <w:tc>
          <w:tcPr>
            <w:tcW w:w="888" w:type="pct"/>
            <w:shd w:val="clear" w:color="auto" w:fill="auto"/>
            <w:vAlign w:val="center"/>
            <w:hideMark/>
          </w:tcPr>
          <w:p w14:paraId="06616E19"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 -</w:t>
            </w:r>
          </w:p>
        </w:tc>
        <w:tc>
          <w:tcPr>
            <w:tcW w:w="942" w:type="pct"/>
            <w:shd w:val="clear" w:color="auto" w:fill="auto"/>
            <w:vAlign w:val="center"/>
            <w:hideMark/>
          </w:tcPr>
          <w:p w14:paraId="62C96DF3"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 -</w:t>
            </w:r>
          </w:p>
        </w:tc>
        <w:tc>
          <w:tcPr>
            <w:tcW w:w="830" w:type="pct"/>
            <w:vAlign w:val="center"/>
          </w:tcPr>
          <w:p w14:paraId="648BFE4F"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pa04</w:t>
            </w:r>
          </w:p>
        </w:tc>
      </w:tr>
      <w:tr w:rsidR="005712AF" w:rsidRPr="001F3370" w14:paraId="4EF55E31" w14:textId="77777777" w:rsidTr="000C6411">
        <w:trPr>
          <w:trHeight w:val="794"/>
        </w:trPr>
        <w:tc>
          <w:tcPr>
            <w:tcW w:w="727" w:type="pct"/>
            <w:shd w:val="clear" w:color="auto" w:fill="auto"/>
            <w:vAlign w:val="center"/>
            <w:hideMark/>
          </w:tcPr>
          <w:p w14:paraId="6D1F8CFD"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Trust to the federal government</w:t>
            </w:r>
          </w:p>
        </w:tc>
        <w:tc>
          <w:tcPr>
            <w:tcW w:w="856" w:type="pct"/>
            <w:shd w:val="clear" w:color="auto" w:fill="auto"/>
            <w:vAlign w:val="center"/>
            <w:hideMark/>
          </w:tcPr>
          <w:p w14:paraId="6E70C702" w14:textId="77777777" w:rsidR="005712AF" w:rsidRPr="001F3370" w:rsidRDefault="005712AF" w:rsidP="000C6411">
            <w:pPr>
              <w:spacing w:after="0" w:line="240" w:lineRule="auto"/>
              <w:jc w:val="center"/>
              <w:rPr>
                <w:rFonts w:ascii="Garamond" w:eastAsia="Times New Roman" w:hAnsi="Garamond" w:cs="Times New Roman"/>
                <w:color w:val="000000"/>
                <w:szCs w:val="20"/>
                <w:lang w:eastAsia="ru-RU"/>
              </w:rPr>
            </w:pPr>
            <w:r w:rsidRPr="001F3370">
              <w:rPr>
                <w:rFonts w:ascii="Garamond" w:eastAsia="Times New Roman" w:hAnsi="Garamond" w:cs="Times New Roman"/>
                <w:color w:val="000000"/>
                <w:szCs w:val="20"/>
                <w:lang w:val="en-US" w:eastAsia="ru-RU"/>
              </w:rPr>
              <w:t>-</w:t>
            </w:r>
            <w:r w:rsidRPr="001F3370">
              <w:rPr>
                <w:rFonts w:ascii="Garamond" w:eastAsia="Times New Roman" w:hAnsi="Garamond" w:cs="Times New Roman"/>
                <w:color w:val="000000"/>
                <w:szCs w:val="20"/>
                <w:lang w:eastAsia="ru-RU"/>
              </w:rPr>
              <w:t> </w:t>
            </w:r>
          </w:p>
        </w:tc>
        <w:tc>
          <w:tcPr>
            <w:tcW w:w="757" w:type="pct"/>
            <w:shd w:val="clear" w:color="auto" w:fill="auto"/>
            <w:vAlign w:val="center"/>
            <w:hideMark/>
          </w:tcPr>
          <w:p w14:paraId="778F96BA"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eastAsia="ru-RU"/>
              </w:rPr>
              <w:t> </w:t>
            </w:r>
            <w:r w:rsidRPr="001F3370">
              <w:rPr>
                <w:rFonts w:ascii="Garamond" w:eastAsia="Times New Roman" w:hAnsi="Garamond" w:cs="Times New Roman"/>
                <w:color w:val="000000"/>
                <w:szCs w:val="20"/>
                <w:lang w:val="en-US" w:eastAsia="ru-RU"/>
              </w:rPr>
              <w:t>-</w:t>
            </w:r>
          </w:p>
        </w:tc>
        <w:tc>
          <w:tcPr>
            <w:tcW w:w="888" w:type="pct"/>
            <w:shd w:val="clear" w:color="auto" w:fill="auto"/>
            <w:vAlign w:val="center"/>
            <w:hideMark/>
          </w:tcPr>
          <w:p w14:paraId="5A965947" w14:textId="77777777" w:rsidR="005712AF" w:rsidRPr="001F3370" w:rsidRDefault="005712AF" w:rsidP="000C6411">
            <w:pPr>
              <w:spacing w:after="0" w:line="240" w:lineRule="auto"/>
              <w:jc w:val="center"/>
              <w:rPr>
                <w:rFonts w:ascii="Garamond" w:eastAsia="Times New Roman" w:hAnsi="Garamond" w:cs="Times New Roman"/>
                <w:color w:val="000000"/>
                <w:szCs w:val="20"/>
                <w:lang w:eastAsia="ru-RU"/>
              </w:rPr>
            </w:pPr>
            <w:r w:rsidRPr="001F3370">
              <w:rPr>
                <w:rFonts w:ascii="Garamond" w:eastAsia="Times New Roman" w:hAnsi="Garamond" w:cs="Times New Roman"/>
                <w:color w:val="000000"/>
                <w:szCs w:val="20"/>
                <w:lang w:eastAsia="ru-RU"/>
              </w:rPr>
              <w:t>German federal government</w:t>
            </w:r>
          </w:p>
        </w:tc>
        <w:tc>
          <w:tcPr>
            <w:tcW w:w="942" w:type="pct"/>
            <w:shd w:val="clear" w:color="auto" w:fill="auto"/>
            <w:vAlign w:val="center"/>
            <w:hideMark/>
          </w:tcPr>
          <w:p w14:paraId="54EBCE6F" w14:textId="77777777" w:rsidR="005712AF" w:rsidRPr="001F3370" w:rsidRDefault="005712AF" w:rsidP="000C6411">
            <w:pPr>
              <w:spacing w:after="0" w:line="240" w:lineRule="auto"/>
              <w:jc w:val="center"/>
              <w:rPr>
                <w:rFonts w:ascii="Garamond" w:eastAsia="Times New Roman" w:hAnsi="Garamond" w:cs="Times New Roman"/>
                <w:color w:val="000000"/>
                <w:szCs w:val="20"/>
                <w:lang w:eastAsia="ru-RU"/>
              </w:rPr>
            </w:pPr>
            <w:r w:rsidRPr="001F3370">
              <w:rPr>
                <w:rFonts w:ascii="Garamond" w:eastAsia="Times New Roman" w:hAnsi="Garamond" w:cs="Times New Roman"/>
                <w:color w:val="000000"/>
                <w:szCs w:val="20"/>
                <w:lang w:val="en-US" w:eastAsia="ru-RU"/>
              </w:rPr>
              <w:t>-</w:t>
            </w:r>
            <w:r w:rsidRPr="001F3370">
              <w:rPr>
                <w:rFonts w:ascii="Garamond" w:eastAsia="Times New Roman" w:hAnsi="Garamond" w:cs="Times New Roman"/>
                <w:color w:val="000000"/>
                <w:szCs w:val="20"/>
                <w:lang w:eastAsia="ru-RU"/>
              </w:rPr>
              <w:t> </w:t>
            </w:r>
          </w:p>
        </w:tc>
        <w:tc>
          <w:tcPr>
            <w:tcW w:w="830" w:type="pct"/>
            <w:vAlign w:val="center"/>
          </w:tcPr>
          <w:p w14:paraId="755B69C3"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pt12</w:t>
            </w:r>
          </w:p>
        </w:tc>
      </w:tr>
      <w:tr w:rsidR="005712AF" w:rsidRPr="001F3370" w14:paraId="65CA634F" w14:textId="77777777" w:rsidTr="000C6411">
        <w:trPr>
          <w:trHeight w:val="624"/>
        </w:trPr>
        <w:tc>
          <w:tcPr>
            <w:tcW w:w="727" w:type="pct"/>
            <w:shd w:val="clear" w:color="auto" w:fill="auto"/>
            <w:vAlign w:val="center"/>
            <w:hideMark/>
          </w:tcPr>
          <w:p w14:paraId="362B5D7C" w14:textId="77777777" w:rsidR="005712AF" w:rsidRPr="001F3370" w:rsidRDefault="005712AF" w:rsidP="000C6411">
            <w:pPr>
              <w:spacing w:after="0" w:line="240" w:lineRule="auto"/>
              <w:jc w:val="center"/>
              <w:rPr>
                <w:rFonts w:ascii="Garamond" w:eastAsia="Times New Roman" w:hAnsi="Garamond" w:cs="Times New Roman"/>
                <w:color w:val="000000"/>
                <w:szCs w:val="20"/>
                <w:lang w:eastAsia="ru-RU"/>
              </w:rPr>
            </w:pPr>
            <w:r w:rsidRPr="001F3370">
              <w:rPr>
                <w:rFonts w:ascii="Garamond" w:eastAsia="Times New Roman" w:hAnsi="Garamond" w:cs="Times New Roman"/>
                <w:color w:val="000000"/>
                <w:szCs w:val="20"/>
                <w:lang w:eastAsia="ru-RU"/>
              </w:rPr>
              <w:t>Union membership</w:t>
            </w:r>
          </w:p>
        </w:tc>
        <w:tc>
          <w:tcPr>
            <w:tcW w:w="856" w:type="pct"/>
            <w:shd w:val="clear" w:color="auto" w:fill="auto"/>
            <w:vAlign w:val="center"/>
            <w:hideMark/>
          </w:tcPr>
          <w:p w14:paraId="38AE362A" w14:textId="77777777" w:rsidR="005712AF" w:rsidRPr="001F3370" w:rsidRDefault="005712AF" w:rsidP="000C6411">
            <w:pPr>
              <w:spacing w:after="0" w:line="240" w:lineRule="auto"/>
              <w:jc w:val="center"/>
              <w:rPr>
                <w:rFonts w:ascii="Garamond" w:eastAsia="Times New Roman" w:hAnsi="Garamond" w:cs="Times New Roman"/>
                <w:color w:val="000000"/>
                <w:szCs w:val="20"/>
                <w:lang w:eastAsia="ru-RU"/>
              </w:rPr>
            </w:pPr>
            <w:r w:rsidRPr="001F3370">
              <w:rPr>
                <w:rFonts w:ascii="Garamond" w:eastAsia="Times New Roman" w:hAnsi="Garamond" w:cs="Times New Roman"/>
                <w:color w:val="000000"/>
                <w:szCs w:val="20"/>
                <w:lang w:eastAsia="ru-RU"/>
              </w:rPr>
              <w:t>Binary</w:t>
            </w:r>
          </w:p>
        </w:tc>
        <w:tc>
          <w:tcPr>
            <w:tcW w:w="757" w:type="pct"/>
            <w:shd w:val="clear" w:color="auto" w:fill="auto"/>
            <w:vAlign w:val="center"/>
            <w:hideMark/>
          </w:tcPr>
          <w:p w14:paraId="0E60B41D"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eastAsia="ru-RU"/>
              </w:rPr>
              <w:t> </w:t>
            </w:r>
            <w:r w:rsidRPr="001F3370">
              <w:rPr>
                <w:rFonts w:ascii="Garamond" w:eastAsia="Times New Roman" w:hAnsi="Garamond" w:cs="Times New Roman"/>
                <w:color w:val="000000"/>
                <w:szCs w:val="20"/>
                <w:lang w:val="en-US" w:eastAsia="ru-RU"/>
              </w:rPr>
              <w:t>-</w:t>
            </w:r>
          </w:p>
        </w:tc>
        <w:tc>
          <w:tcPr>
            <w:tcW w:w="888" w:type="pct"/>
            <w:shd w:val="clear" w:color="auto" w:fill="auto"/>
            <w:vAlign w:val="center"/>
            <w:hideMark/>
          </w:tcPr>
          <w:p w14:paraId="2EEA819F"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eastAsia="ru-RU"/>
              </w:rPr>
              <w:t> </w:t>
            </w:r>
            <w:r w:rsidRPr="001F3370">
              <w:rPr>
                <w:rFonts w:ascii="Garamond" w:eastAsia="Times New Roman" w:hAnsi="Garamond" w:cs="Times New Roman"/>
                <w:color w:val="000000"/>
                <w:szCs w:val="20"/>
                <w:lang w:val="en-US" w:eastAsia="ru-RU"/>
              </w:rPr>
              <w:t>-</w:t>
            </w:r>
          </w:p>
        </w:tc>
        <w:tc>
          <w:tcPr>
            <w:tcW w:w="942" w:type="pct"/>
            <w:shd w:val="clear" w:color="auto" w:fill="auto"/>
            <w:vAlign w:val="center"/>
            <w:hideMark/>
          </w:tcPr>
          <w:p w14:paraId="757B765E" w14:textId="77777777" w:rsidR="005712AF" w:rsidRPr="001F3370" w:rsidRDefault="005712AF" w:rsidP="000C6411">
            <w:pPr>
              <w:spacing w:after="0" w:line="240" w:lineRule="auto"/>
              <w:jc w:val="center"/>
              <w:rPr>
                <w:rFonts w:ascii="Garamond" w:eastAsia="Times New Roman" w:hAnsi="Garamond" w:cs="Times New Roman"/>
                <w:color w:val="000000"/>
                <w:szCs w:val="20"/>
                <w:lang w:eastAsia="ru-RU"/>
              </w:rPr>
            </w:pPr>
            <w:r w:rsidRPr="001F3370">
              <w:rPr>
                <w:rFonts w:ascii="Garamond" w:eastAsia="Times New Roman" w:hAnsi="Garamond" w:cs="Times New Roman"/>
                <w:color w:val="000000"/>
                <w:szCs w:val="20"/>
                <w:lang w:val="en-US" w:eastAsia="ru-RU"/>
              </w:rPr>
              <w:t>-</w:t>
            </w:r>
            <w:r w:rsidRPr="001F3370">
              <w:rPr>
                <w:rFonts w:ascii="Garamond" w:eastAsia="Times New Roman" w:hAnsi="Garamond" w:cs="Times New Roman"/>
                <w:color w:val="000000"/>
                <w:szCs w:val="20"/>
                <w:lang w:eastAsia="ru-RU"/>
              </w:rPr>
              <w:t> </w:t>
            </w:r>
          </w:p>
        </w:tc>
        <w:tc>
          <w:tcPr>
            <w:tcW w:w="830" w:type="pct"/>
            <w:vAlign w:val="center"/>
          </w:tcPr>
          <w:p w14:paraId="1C78EA8A" w14:textId="77777777" w:rsidR="005712AF" w:rsidRPr="001F3370" w:rsidRDefault="005712AF" w:rsidP="000C6411">
            <w:pPr>
              <w:spacing w:after="0" w:line="240" w:lineRule="auto"/>
              <w:jc w:val="center"/>
              <w:rPr>
                <w:rFonts w:ascii="Garamond" w:eastAsia="Times New Roman" w:hAnsi="Garamond" w:cs="Times New Roman"/>
                <w:color w:val="000000"/>
                <w:szCs w:val="20"/>
                <w:lang w:val="en-US" w:eastAsia="ru-RU"/>
              </w:rPr>
            </w:pPr>
            <w:r w:rsidRPr="001F3370">
              <w:rPr>
                <w:rFonts w:ascii="Garamond" w:eastAsia="Times New Roman" w:hAnsi="Garamond" w:cs="Times New Roman"/>
                <w:color w:val="000000"/>
                <w:szCs w:val="20"/>
                <w:lang w:val="en-US" w:eastAsia="ru-RU"/>
              </w:rPr>
              <w:t>sm01</w:t>
            </w:r>
          </w:p>
        </w:tc>
      </w:tr>
    </w:tbl>
    <w:p w14:paraId="2050A9DD" w14:textId="77777777" w:rsidR="005712AF" w:rsidRPr="00C5306B" w:rsidRDefault="005712AF" w:rsidP="005712AF">
      <w:pPr>
        <w:spacing w:before="120" w:after="0" w:line="240" w:lineRule="auto"/>
        <w:jc w:val="both"/>
        <w:rPr>
          <w:rFonts w:ascii="Garamond" w:hAnsi="Garamond" w:cs="Times New Roman"/>
          <w:b/>
          <w:sz w:val="24"/>
          <w:szCs w:val="24"/>
          <w:lang w:val="en-US"/>
        </w:rPr>
      </w:pPr>
      <w:r w:rsidRPr="00C5306B">
        <w:rPr>
          <w:rFonts w:ascii="Garamond" w:eastAsia="Times New Roman" w:hAnsi="Garamond" w:cs="Times New Roman"/>
          <w:bCs/>
          <w:sz w:val="24"/>
          <w:szCs w:val="24"/>
          <w:lang w:val="en-US" w:eastAsia="ru-RU"/>
        </w:rPr>
        <w:t xml:space="preserve">Source: Author from ALLBUS 2018 Variable Report (Baumann, Schulz and </w:t>
      </w:r>
      <w:proofErr w:type="spellStart"/>
      <w:r w:rsidRPr="00C5306B">
        <w:rPr>
          <w:rFonts w:ascii="Garamond" w:eastAsia="Times New Roman" w:hAnsi="Garamond" w:cs="Times New Roman"/>
          <w:bCs/>
          <w:sz w:val="24"/>
          <w:szCs w:val="24"/>
          <w:lang w:val="en-US" w:eastAsia="ru-RU"/>
        </w:rPr>
        <w:t>Thiesen</w:t>
      </w:r>
      <w:proofErr w:type="spellEnd"/>
      <w:r w:rsidRPr="00C5306B">
        <w:rPr>
          <w:rFonts w:ascii="Garamond" w:eastAsia="Times New Roman" w:hAnsi="Garamond" w:cs="Times New Roman"/>
          <w:bCs/>
          <w:sz w:val="24"/>
          <w:szCs w:val="24"/>
          <w:lang w:val="en-US" w:eastAsia="ru-RU"/>
        </w:rPr>
        <w:t xml:space="preserve"> 2019, 6: 68, 77, 552).</w:t>
      </w:r>
    </w:p>
    <w:p w14:paraId="519146CB" w14:textId="77777777" w:rsidR="005712AF" w:rsidRDefault="005712AF" w:rsidP="005712AF">
      <w:pPr>
        <w:spacing w:after="0" w:line="360" w:lineRule="auto"/>
        <w:rPr>
          <w:rFonts w:ascii="Garamond" w:hAnsi="Garamond" w:cs="Times New Roman"/>
          <w:b/>
          <w:i/>
          <w:sz w:val="24"/>
          <w:szCs w:val="24"/>
          <w:lang w:val="en-US"/>
        </w:rPr>
      </w:pPr>
    </w:p>
    <w:p w14:paraId="4D55CCD6" w14:textId="77777777" w:rsidR="005712AF" w:rsidRPr="00CA107C" w:rsidRDefault="005712AF" w:rsidP="005712AF">
      <w:pPr>
        <w:spacing w:after="0" w:line="360" w:lineRule="auto"/>
        <w:rPr>
          <w:rFonts w:ascii="Garamond" w:eastAsia="Times New Roman" w:hAnsi="Garamond" w:cs="Times New Roman"/>
          <w:bCs/>
          <w:i/>
          <w:sz w:val="24"/>
          <w:szCs w:val="24"/>
          <w:lang w:val="en-US" w:eastAsia="ru-RU"/>
        </w:rPr>
      </w:pPr>
      <w:r>
        <w:rPr>
          <w:rFonts w:ascii="Garamond" w:hAnsi="Garamond" w:cs="Times New Roman"/>
          <w:b/>
          <w:i/>
          <w:sz w:val="24"/>
          <w:szCs w:val="24"/>
          <w:lang w:val="en-US"/>
        </w:rPr>
        <w:t>3</w:t>
      </w:r>
      <w:r w:rsidRPr="001B109F">
        <w:rPr>
          <w:rFonts w:ascii="Garamond" w:hAnsi="Garamond" w:cs="Times New Roman"/>
          <w:b/>
          <w:i/>
          <w:sz w:val="24"/>
          <w:szCs w:val="24"/>
          <w:lang w:val="en-US"/>
        </w:rPr>
        <w:t xml:space="preserve">. Descriptive statistics of variables </w:t>
      </w:r>
    </w:p>
    <w:p w14:paraId="6FA00794" w14:textId="77777777" w:rsidR="005712AF" w:rsidRPr="002303AD" w:rsidRDefault="005712AF" w:rsidP="005712AF">
      <w:pPr>
        <w:spacing w:after="120" w:line="276" w:lineRule="auto"/>
        <w:jc w:val="both"/>
        <w:rPr>
          <w:rFonts w:ascii="Garamond" w:hAnsi="Garamond" w:cs="Times New Roman"/>
          <w:b/>
          <w:sz w:val="24"/>
          <w:szCs w:val="24"/>
          <w:lang w:val="en-US"/>
        </w:rPr>
      </w:pPr>
      <w:r w:rsidRPr="002303AD">
        <w:rPr>
          <w:rFonts w:ascii="Garamond" w:hAnsi="Garamond" w:cs="Times New Roman"/>
          <w:b/>
          <w:sz w:val="24"/>
          <w:szCs w:val="24"/>
          <w:lang w:val="en-US"/>
        </w:rPr>
        <w:lastRenderedPageBreak/>
        <w:t xml:space="preserve">Figure 3.1. Distribution of the dependent variable (probability of voting for the Greens): Germany nationwide </w:t>
      </w:r>
    </w:p>
    <w:p w14:paraId="694FB0CC" w14:textId="77777777" w:rsidR="005712AF" w:rsidRPr="00EE00F3" w:rsidRDefault="005712AF" w:rsidP="005712AF">
      <w:pPr>
        <w:spacing w:before="240" w:line="360" w:lineRule="auto"/>
        <w:rPr>
          <w:rFonts w:ascii="Garamond" w:hAnsi="Garamond" w:cs="Times New Roman"/>
          <w:b/>
          <w:sz w:val="24"/>
          <w:szCs w:val="24"/>
        </w:rPr>
      </w:pPr>
      <w:r>
        <w:rPr>
          <w:noProof/>
          <w:lang w:eastAsia="ru-RU"/>
        </w:rPr>
        <w:drawing>
          <wp:inline distT="0" distB="0" distL="0" distR="0" wp14:anchorId="3B892984" wp14:editId="180A7C88">
            <wp:extent cx="5040000" cy="3186036"/>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408" r="5757" b="3059"/>
                    <a:stretch/>
                  </pic:blipFill>
                  <pic:spPr bwMode="auto">
                    <a:xfrm>
                      <a:off x="0" y="0"/>
                      <a:ext cx="5040000" cy="3186036"/>
                    </a:xfrm>
                    <a:prstGeom prst="rect">
                      <a:avLst/>
                    </a:prstGeom>
                    <a:ln>
                      <a:noFill/>
                    </a:ln>
                    <a:extLst>
                      <a:ext uri="{53640926-AAD7-44D8-BBD7-CCE9431645EC}">
                        <a14:shadowObscured xmlns:a14="http://schemas.microsoft.com/office/drawing/2010/main"/>
                      </a:ext>
                    </a:extLst>
                  </pic:spPr>
                </pic:pic>
              </a:graphicData>
            </a:graphic>
          </wp:inline>
        </w:drawing>
      </w:r>
    </w:p>
    <w:p w14:paraId="313E8203" w14:textId="77777777" w:rsidR="005712AF" w:rsidRDefault="005712AF" w:rsidP="005712AF">
      <w:pPr>
        <w:spacing w:before="120" w:after="0" w:line="276" w:lineRule="auto"/>
        <w:rPr>
          <w:rFonts w:ascii="Garamond" w:eastAsia="Times New Roman" w:hAnsi="Garamond" w:cs="Times New Roman"/>
          <w:bCs/>
          <w:sz w:val="24"/>
          <w:szCs w:val="24"/>
          <w:lang w:val="en-US" w:eastAsia="ru-RU"/>
        </w:rPr>
      </w:pPr>
      <w:r>
        <w:rPr>
          <w:rFonts w:ascii="Garamond" w:eastAsia="Times New Roman" w:hAnsi="Garamond" w:cs="Times New Roman"/>
          <w:bCs/>
          <w:sz w:val="24"/>
          <w:szCs w:val="24"/>
          <w:lang w:val="en-US" w:eastAsia="ru-RU"/>
        </w:rPr>
        <w:t>Note: Hereinafter bold green curve is a distribution trend line.</w:t>
      </w:r>
    </w:p>
    <w:p w14:paraId="460E8940" w14:textId="77777777" w:rsidR="005712AF" w:rsidRPr="00791535" w:rsidRDefault="005712AF" w:rsidP="005712AF">
      <w:pPr>
        <w:spacing w:after="0" w:line="276" w:lineRule="auto"/>
        <w:rPr>
          <w:rFonts w:ascii="Garamond" w:eastAsia="Times New Roman" w:hAnsi="Garamond" w:cs="Times New Roman"/>
          <w:bCs/>
          <w:sz w:val="24"/>
          <w:szCs w:val="24"/>
          <w:lang w:val="en-US" w:eastAsia="ru-RU"/>
        </w:rPr>
      </w:pPr>
      <w:r>
        <w:rPr>
          <w:rFonts w:ascii="Garamond" w:eastAsia="Times New Roman" w:hAnsi="Garamond" w:cs="Times New Roman"/>
          <w:bCs/>
          <w:sz w:val="24"/>
          <w:szCs w:val="24"/>
          <w:lang w:val="en-US" w:eastAsia="ru-RU"/>
        </w:rPr>
        <w:t xml:space="preserve">Source: Author from ALLBUS 2018 </w:t>
      </w:r>
      <w:r w:rsidRPr="00495A71">
        <w:rPr>
          <w:rFonts w:ascii="Garamond" w:eastAsia="Times New Roman" w:hAnsi="Garamond" w:cs="Times New Roman"/>
          <w:bCs/>
          <w:sz w:val="24"/>
          <w:szCs w:val="24"/>
          <w:lang w:val="en-US" w:eastAsia="ru-RU"/>
        </w:rPr>
        <w:t xml:space="preserve">(Baumann, Schulz, and </w:t>
      </w:r>
      <w:proofErr w:type="spellStart"/>
      <w:r w:rsidRPr="00495A71">
        <w:rPr>
          <w:rFonts w:ascii="Garamond" w:eastAsia="Times New Roman" w:hAnsi="Garamond" w:cs="Times New Roman"/>
          <w:bCs/>
          <w:sz w:val="24"/>
          <w:szCs w:val="24"/>
          <w:lang w:val="en-US" w:eastAsia="ru-RU"/>
        </w:rPr>
        <w:t>Thiesen</w:t>
      </w:r>
      <w:proofErr w:type="spellEnd"/>
      <w:r w:rsidRPr="00495A71">
        <w:rPr>
          <w:rFonts w:ascii="Garamond" w:eastAsia="Times New Roman" w:hAnsi="Garamond" w:cs="Times New Roman"/>
          <w:bCs/>
          <w:sz w:val="24"/>
          <w:szCs w:val="24"/>
          <w:lang w:val="en-US" w:eastAsia="ru-RU"/>
        </w:rPr>
        <w:t xml:space="preserve"> 2019).</w:t>
      </w:r>
    </w:p>
    <w:p w14:paraId="36B44620" w14:textId="77777777" w:rsidR="005712AF" w:rsidRPr="006C1C41" w:rsidRDefault="005712AF" w:rsidP="005712AF">
      <w:pPr>
        <w:spacing w:before="360" w:line="276" w:lineRule="auto"/>
        <w:jc w:val="both"/>
        <w:rPr>
          <w:rFonts w:ascii="Garamond" w:hAnsi="Garamond" w:cs="Times New Roman"/>
          <w:b/>
          <w:sz w:val="24"/>
          <w:szCs w:val="24"/>
          <w:lang w:val="en-US"/>
        </w:rPr>
      </w:pPr>
      <w:r w:rsidRPr="006C1C41">
        <w:rPr>
          <w:rFonts w:ascii="Garamond" w:hAnsi="Garamond" w:cs="Times New Roman"/>
          <w:b/>
          <w:sz w:val="24"/>
          <w:szCs w:val="24"/>
          <w:lang w:val="en-US"/>
        </w:rPr>
        <w:t xml:space="preserve">Figure 3.2. Distribution of the dependent variable (probability of voting for the Greens): East Germany </w:t>
      </w:r>
    </w:p>
    <w:p w14:paraId="3CF3065A" w14:textId="77777777" w:rsidR="005712AF" w:rsidRPr="00B50AC8" w:rsidRDefault="005712AF" w:rsidP="005712AF">
      <w:pPr>
        <w:spacing w:before="240" w:line="360" w:lineRule="auto"/>
        <w:rPr>
          <w:rFonts w:ascii="Garamond" w:hAnsi="Garamond" w:cs="Times New Roman"/>
          <w:b/>
          <w:sz w:val="24"/>
          <w:szCs w:val="24"/>
          <w:lang w:val="en-US"/>
        </w:rPr>
      </w:pPr>
      <w:r>
        <w:rPr>
          <w:noProof/>
          <w:lang w:eastAsia="ru-RU"/>
        </w:rPr>
        <w:drawing>
          <wp:inline distT="0" distB="0" distL="0" distR="0" wp14:anchorId="65581D22" wp14:editId="0062963E">
            <wp:extent cx="5040000" cy="3186342"/>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1453" r="3569" b="3067"/>
                    <a:stretch/>
                  </pic:blipFill>
                  <pic:spPr bwMode="auto">
                    <a:xfrm>
                      <a:off x="0" y="0"/>
                      <a:ext cx="5040000" cy="3186342"/>
                    </a:xfrm>
                    <a:prstGeom prst="rect">
                      <a:avLst/>
                    </a:prstGeom>
                    <a:ln>
                      <a:noFill/>
                    </a:ln>
                    <a:extLst>
                      <a:ext uri="{53640926-AAD7-44D8-BBD7-CCE9431645EC}">
                        <a14:shadowObscured xmlns:a14="http://schemas.microsoft.com/office/drawing/2010/main"/>
                      </a:ext>
                    </a:extLst>
                  </pic:spPr>
                </pic:pic>
              </a:graphicData>
            </a:graphic>
          </wp:inline>
        </w:drawing>
      </w:r>
    </w:p>
    <w:p w14:paraId="52478489" w14:textId="77777777" w:rsidR="005712AF" w:rsidRDefault="005712AF" w:rsidP="005712AF">
      <w:pPr>
        <w:spacing w:after="0" w:line="276" w:lineRule="auto"/>
        <w:rPr>
          <w:rFonts w:ascii="Garamond" w:eastAsia="Times New Roman" w:hAnsi="Garamond" w:cs="Times New Roman"/>
          <w:bCs/>
          <w:sz w:val="24"/>
          <w:szCs w:val="24"/>
          <w:lang w:val="en-US" w:eastAsia="ru-RU"/>
        </w:rPr>
      </w:pPr>
      <w:r w:rsidRPr="000932BD">
        <w:rPr>
          <w:rFonts w:ascii="Garamond" w:eastAsia="Times New Roman" w:hAnsi="Garamond" w:cs="Times New Roman"/>
          <w:bCs/>
          <w:sz w:val="24"/>
          <w:szCs w:val="24"/>
          <w:lang w:val="en-US" w:eastAsia="ru-RU"/>
        </w:rPr>
        <w:lastRenderedPageBreak/>
        <w:t xml:space="preserve">Source: Author from ALLBUS </w:t>
      </w:r>
      <w:r>
        <w:rPr>
          <w:rFonts w:ascii="Garamond" w:eastAsia="Times New Roman" w:hAnsi="Garamond" w:cs="Times New Roman"/>
          <w:bCs/>
          <w:sz w:val="24"/>
          <w:szCs w:val="24"/>
          <w:lang w:val="en-US" w:eastAsia="ru-RU"/>
        </w:rPr>
        <w:t xml:space="preserve">2018 </w:t>
      </w:r>
      <w:r w:rsidRPr="00495A71">
        <w:rPr>
          <w:rFonts w:ascii="Garamond" w:eastAsia="Times New Roman" w:hAnsi="Garamond" w:cs="Times New Roman"/>
          <w:bCs/>
          <w:sz w:val="24"/>
          <w:szCs w:val="24"/>
          <w:lang w:val="en-US" w:eastAsia="ru-RU"/>
        </w:rPr>
        <w:t xml:space="preserve">(Baumann, Schulz, and </w:t>
      </w:r>
      <w:proofErr w:type="spellStart"/>
      <w:r w:rsidRPr="00495A71">
        <w:rPr>
          <w:rFonts w:ascii="Garamond" w:eastAsia="Times New Roman" w:hAnsi="Garamond" w:cs="Times New Roman"/>
          <w:bCs/>
          <w:sz w:val="24"/>
          <w:szCs w:val="24"/>
          <w:lang w:val="en-US" w:eastAsia="ru-RU"/>
        </w:rPr>
        <w:t>Thiesen</w:t>
      </w:r>
      <w:proofErr w:type="spellEnd"/>
      <w:r w:rsidRPr="00495A71">
        <w:rPr>
          <w:rFonts w:ascii="Garamond" w:eastAsia="Times New Roman" w:hAnsi="Garamond" w:cs="Times New Roman"/>
          <w:bCs/>
          <w:sz w:val="24"/>
          <w:szCs w:val="24"/>
          <w:lang w:val="en-US" w:eastAsia="ru-RU"/>
        </w:rPr>
        <w:t xml:space="preserve"> 2019).</w:t>
      </w:r>
    </w:p>
    <w:p w14:paraId="1CB44D72" w14:textId="77777777" w:rsidR="005712AF" w:rsidRPr="000932BD" w:rsidRDefault="005712AF" w:rsidP="005712AF">
      <w:pPr>
        <w:spacing w:after="0" w:line="276" w:lineRule="auto"/>
        <w:rPr>
          <w:rFonts w:ascii="Garamond" w:eastAsia="Times New Roman" w:hAnsi="Garamond" w:cs="Times New Roman"/>
          <w:bCs/>
          <w:sz w:val="24"/>
          <w:szCs w:val="24"/>
          <w:lang w:val="en-US" w:eastAsia="ru-RU"/>
        </w:rPr>
      </w:pPr>
    </w:p>
    <w:p w14:paraId="4C0BC171" w14:textId="77777777" w:rsidR="005712AF" w:rsidRPr="006C1C41" w:rsidRDefault="005712AF" w:rsidP="005712AF">
      <w:pPr>
        <w:spacing w:after="120" w:line="276" w:lineRule="auto"/>
        <w:jc w:val="both"/>
        <w:rPr>
          <w:rFonts w:ascii="Garamond" w:eastAsia="Times New Roman" w:hAnsi="Garamond" w:cs="Times New Roman"/>
          <w:b/>
          <w:bCs/>
          <w:sz w:val="24"/>
          <w:szCs w:val="24"/>
          <w:lang w:val="en-US" w:eastAsia="ru-RU"/>
        </w:rPr>
      </w:pPr>
      <w:r w:rsidRPr="006C1C41">
        <w:rPr>
          <w:rFonts w:ascii="Garamond" w:hAnsi="Garamond" w:cs="Times New Roman"/>
          <w:b/>
          <w:sz w:val="24"/>
          <w:szCs w:val="24"/>
          <w:lang w:val="en-US"/>
        </w:rPr>
        <w:t xml:space="preserve">Figure 3.3. Distribution of the dependent variable (probability of voting for the Greens): West Germany </w:t>
      </w:r>
    </w:p>
    <w:p w14:paraId="7A08DA46" w14:textId="77777777" w:rsidR="005712AF" w:rsidRPr="00B50AC8" w:rsidRDefault="005712AF" w:rsidP="005712AF">
      <w:pPr>
        <w:spacing w:before="240" w:line="360" w:lineRule="auto"/>
        <w:rPr>
          <w:rFonts w:ascii="Garamond" w:hAnsi="Garamond" w:cs="Times New Roman"/>
          <w:b/>
          <w:sz w:val="24"/>
          <w:szCs w:val="24"/>
          <w:lang w:val="en-US"/>
        </w:rPr>
      </w:pPr>
      <w:r>
        <w:rPr>
          <w:noProof/>
          <w:lang w:eastAsia="ru-RU"/>
        </w:rPr>
        <w:drawing>
          <wp:inline distT="0" distB="0" distL="0" distR="0" wp14:anchorId="612A89C9" wp14:editId="37F4C5E1">
            <wp:extent cx="5040000" cy="3107313"/>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3967" r="3363" b="2495"/>
                    <a:stretch/>
                  </pic:blipFill>
                  <pic:spPr bwMode="auto">
                    <a:xfrm>
                      <a:off x="0" y="0"/>
                      <a:ext cx="5040000" cy="3107313"/>
                    </a:xfrm>
                    <a:prstGeom prst="rect">
                      <a:avLst/>
                    </a:prstGeom>
                    <a:ln>
                      <a:noFill/>
                    </a:ln>
                    <a:extLst>
                      <a:ext uri="{53640926-AAD7-44D8-BBD7-CCE9431645EC}">
                        <a14:shadowObscured xmlns:a14="http://schemas.microsoft.com/office/drawing/2010/main"/>
                      </a:ext>
                    </a:extLst>
                  </pic:spPr>
                </pic:pic>
              </a:graphicData>
            </a:graphic>
          </wp:inline>
        </w:drawing>
      </w:r>
    </w:p>
    <w:p w14:paraId="40AAA18C" w14:textId="77777777" w:rsidR="005712AF" w:rsidRDefault="005712AF" w:rsidP="005712AF">
      <w:pPr>
        <w:spacing w:after="0" w:line="276" w:lineRule="auto"/>
        <w:jc w:val="both"/>
        <w:rPr>
          <w:rFonts w:ascii="Garamond" w:eastAsia="Times New Roman" w:hAnsi="Garamond" w:cs="Times New Roman"/>
          <w:bCs/>
          <w:sz w:val="24"/>
          <w:szCs w:val="24"/>
          <w:lang w:val="en-US" w:eastAsia="ru-RU"/>
        </w:rPr>
      </w:pPr>
      <w:r>
        <w:rPr>
          <w:rFonts w:ascii="Garamond" w:eastAsia="Times New Roman" w:hAnsi="Garamond" w:cs="Times New Roman"/>
          <w:bCs/>
          <w:sz w:val="24"/>
          <w:szCs w:val="24"/>
          <w:lang w:val="en-US" w:eastAsia="ru-RU"/>
        </w:rPr>
        <w:t xml:space="preserve">Source: Author from ALLBUS 2018 </w:t>
      </w:r>
      <w:r w:rsidRPr="00495A71">
        <w:rPr>
          <w:rFonts w:ascii="Garamond" w:eastAsia="Times New Roman" w:hAnsi="Garamond" w:cs="Times New Roman"/>
          <w:bCs/>
          <w:sz w:val="24"/>
          <w:szCs w:val="24"/>
          <w:lang w:val="en-US" w:eastAsia="ru-RU"/>
        </w:rPr>
        <w:t xml:space="preserve">(Baumann, Schulz, and </w:t>
      </w:r>
      <w:proofErr w:type="spellStart"/>
      <w:r w:rsidRPr="00495A71">
        <w:rPr>
          <w:rFonts w:ascii="Garamond" w:eastAsia="Times New Roman" w:hAnsi="Garamond" w:cs="Times New Roman"/>
          <w:bCs/>
          <w:sz w:val="24"/>
          <w:szCs w:val="24"/>
          <w:lang w:val="en-US" w:eastAsia="ru-RU"/>
        </w:rPr>
        <w:t>Thiesen</w:t>
      </w:r>
      <w:proofErr w:type="spellEnd"/>
      <w:r w:rsidRPr="00495A71">
        <w:rPr>
          <w:rFonts w:ascii="Garamond" w:eastAsia="Times New Roman" w:hAnsi="Garamond" w:cs="Times New Roman"/>
          <w:bCs/>
          <w:sz w:val="24"/>
          <w:szCs w:val="24"/>
          <w:lang w:val="en-US" w:eastAsia="ru-RU"/>
        </w:rPr>
        <w:t xml:space="preserve"> 2019).</w:t>
      </w:r>
    </w:p>
    <w:p w14:paraId="6D0443E9" w14:textId="77777777" w:rsidR="005712AF" w:rsidRDefault="005712AF" w:rsidP="005712AF">
      <w:pPr>
        <w:spacing w:after="120" w:line="360" w:lineRule="auto"/>
        <w:jc w:val="both"/>
        <w:rPr>
          <w:rFonts w:ascii="Garamond" w:eastAsia="Times New Roman" w:hAnsi="Garamond" w:cs="Times New Roman"/>
          <w:b/>
          <w:bCs/>
          <w:sz w:val="24"/>
          <w:szCs w:val="24"/>
          <w:lang w:val="en-US" w:eastAsia="ru-RU"/>
        </w:rPr>
      </w:pPr>
    </w:p>
    <w:p w14:paraId="57AE297E" w14:textId="77777777" w:rsidR="005712AF" w:rsidRPr="00574C6F" w:rsidRDefault="005712AF" w:rsidP="005712AF">
      <w:pPr>
        <w:spacing w:after="120" w:line="360" w:lineRule="auto"/>
        <w:jc w:val="both"/>
        <w:rPr>
          <w:rFonts w:ascii="Garamond" w:eastAsia="Times New Roman" w:hAnsi="Garamond" w:cs="Times New Roman"/>
          <w:b/>
          <w:bCs/>
          <w:sz w:val="24"/>
          <w:szCs w:val="24"/>
          <w:lang w:val="en-US" w:eastAsia="ru-RU"/>
        </w:rPr>
      </w:pPr>
      <w:r w:rsidRPr="00574C6F">
        <w:rPr>
          <w:rFonts w:ascii="Garamond" w:eastAsia="Times New Roman" w:hAnsi="Garamond" w:cs="Times New Roman"/>
          <w:b/>
          <w:bCs/>
          <w:sz w:val="24"/>
          <w:szCs w:val="24"/>
          <w:lang w:val="en-US" w:eastAsia="ru-RU"/>
        </w:rPr>
        <w:t>Table 3.1. Descriptive statistics of independent categorical variables: East Germany</w:t>
      </w:r>
    </w:p>
    <w:tbl>
      <w:tblPr>
        <w:tblW w:w="8500" w:type="dxa"/>
        <w:tblLook w:val="04A0" w:firstRow="1" w:lastRow="0" w:firstColumn="1" w:lastColumn="0" w:noHBand="0" w:noVBand="1"/>
      </w:tblPr>
      <w:tblGrid>
        <w:gridCol w:w="2920"/>
        <w:gridCol w:w="2920"/>
        <w:gridCol w:w="2660"/>
      </w:tblGrid>
      <w:tr w:rsidR="005712AF" w:rsidRPr="00ED437F" w14:paraId="6E1D9556" w14:textId="77777777" w:rsidTr="000C6411">
        <w:trPr>
          <w:trHeight w:val="567"/>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ABDAF" w14:textId="77777777" w:rsidR="005712AF" w:rsidRPr="00ED437F" w:rsidRDefault="005712AF" w:rsidP="000C6411">
            <w:pPr>
              <w:spacing w:after="0" w:line="240" w:lineRule="auto"/>
              <w:jc w:val="center"/>
              <w:rPr>
                <w:rFonts w:ascii="Garamond" w:eastAsia="Times New Roman" w:hAnsi="Garamond" w:cs="Times New Roman"/>
                <w:i/>
                <w:color w:val="000000"/>
                <w:szCs w:val="20"/>
                <w:lang w:eastAsia="ru-RU"/>
              </w:rPr>
            </w:pPr>
            <w:r w:rsidRPr="00ED437F">
              <w:rPr>
                <w:rFonts w:ascii="Garamond" w:eastAsia="Times New Roman" w:hAnsi="Garamond" w:cs="Times New Roman"/>
                <w:i/>
                <w:color w:val="000000"/>
                <w:szCs w:val="20"/>
                <w:lang w:eastAsia="ru-RU"/>
              </w:rPr>
              <w:t>Variable</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32CBC688" w14:textId="77777777" w:rsidR="005712AF" w:rsidRPr="00ED437F" w:rsidRDefault="005712AF" w:rsidP="000C6411">
            <w:pPr>
              <w:spacing w:after="0" w:line="240" w:lineRule="auto"/>
              <w:jc w:val="center"/>
              <w:rPr>
                <w:rFonts w:ascii="Garamond" w:eastAsia="Times New Roman" w:hAnsi="Garamond" w:cs="Times New Roman"/>
                <w:i/>
                <w:color w:val="000000"/>
                <w:szCs w:val="20"/>
                <w:lang w:eastAsia="ru-RU"/>
              </w:rPr>
            </w:pPr>
            <w:r w:rsidRPr="00ED437F">
              <w:rPr>
                <w:rFonts w:ascii="Garamond" w:eastAsia="Times New Roman" w:hAnsi="Garamond" w:cs="Times New Roman"/>
                <w:i/>
                <w:color w:val="000000"/>
                <w:szCs w:val="20"/>
                <w:lang w:eastAsia="ru-RU"/>
              </w:rPr>
              <w:t>Quantity</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4E8C0EB8" w14:textId="77777777" w:rsidR="005712AF" w:rsidRPr="00ED437F" w:rsidRDefault="005712AF" w:rsidP="000C6411">
            <w:pPr>
              <w:spacing w:after="0" w:line="240" w:lineRule="auto"/>
              <w:jc w:val="center"/>
              <w:rPr>
                <w:rFonts w:ascii="Garamond" w:eastAsia="Times New Roman" w:hAnsi="Garamond" w:cs="Times New Roman"/>
                <w:i/>
                <w:color w:val="000000"/>
                <w:szCs w:val="20"/>
                <w:lang w:eastAsia="ru-RU"/>
              </w:rPr>
            </w:pPr>
            <w:r w:rsidRPr="00ED437F">
              <w:rPr>
                <w:rFonts w:ascii="Garamond" w:eastAsia="Times New Roman" w:hAnsi="Garamond" w:cs="Times New Roman"/>
                <w:i/>
                <w:color w:val="000000"/>
                <w:szCs w:val="20"/>
                <w:lang w:eastAsia="ru-RU"/>
              </w:rPr>
              <w:t>Share of the whole (%)</w:t>
            </w:r>
          </w:p>
        </w:tc>
      </w:tr>
      <w:tr w:rsidR="005712AF" w:rsidRPr="00ED437F" w14:paraId="5C1B2D35"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FF7050A"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Female</w:t>
            </w:r>
          </w:p>
        </w:tc>
        <w:tc>
          <w:tcPr>
            <w:tcW w:w="2920" w:type="dxa"/>
            <w:tcBorders>
              <w:top w:val="nil"/>
              <w:left w:val="nil"/>
              <w:bottom w:val="single" w:sz="4" w:space="0" w:color="auto"/>
              <w:right w:val="single" w:sz="4" w:space="0" w:color="auto"/>
            </w:tcBorders>
            <w:shd w:val="clear" w:color="auto" w:fill="auto"/>
            <w:vAlign w:val="center"/>
            <w:hideMark/>
          </w:tcPr>
          <w:p w14:paraId="42895A20"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540</w:t>
            </w:r>
          </w:p>
        </w:tc>
        <w:tc>
          <w:tcPr>
            <w:tcW w:w="2660" w:type="dxa"/>
            <w:tcBorders>
              <w:top w:val="nil"/>
              <w:left w:val="nil"/>
              <w:bottom w:val="single" w:sz="4" w:space="0" w:color="auto"/>
              <w:right w:val="single" w:sz="4" w:space="0" w:color="auto"/>
            </w:tcBorders>
            <w:shd w:val="clear" w:color="auto" w:fill="auto"/>
            <w:vAlign w:val="center"/>
            <w:hideMark/>
          </w:tcPr>
          <w:p w14:paraId="2A536374"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49.5</w:t>
            </w:r>
          </w:p>
        </w:tc>
      </w:tr>
      <w:tr w:rsidR="005712AF" w:rsidRPr="00ED437F" w14:paraId="2A8B2335"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A242D1"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Age - Upper-middle (45-60)</w:t>
            </w:r>
          </w:p>
        </w:tc>
        <w:tc>
          <w:tcPr>
            <w:tcW w:w="2920" w:type="dxa"/>
            <w:tcBorders>
              <w:top w:val="nil"/>
              <w:left w:val="nil"/>
              <w:bottom w:val="single" w:sz="4" w:space="0" w:color="auto"/>
              <w:right w:val="single" w:sz="4" w:space="0" w:color="auto"/>
            </w:tcBorders>
            <w:shd w:val="clear" w:color="auto" w:fill="auto"/>
            <w:vAlign w:val="center"/>
            <w:hideMark/>
          </w:tcPr>
          <w:p w14:paraId="00EA095F"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315</w:t>
            </w:r>
          </w:p>
        </w:tc>
        <w:tc>
          <w:tcPr>
            <w:tcW w:w="2660" w:type="dxa"/>
            <w:tcBorders>
              <w:top w:val="nil"/>
              <w:left w:val="nil"/>
              <w:bottom w:val="single" w:sz="4" w:space="0" w:color="auto"/>
              <w:right w:val="single" w:sz="4" w:space="0" w:color="auto"/>
            </w:tcBorders>
            <w:shd w:val="clear" w:color="auto" w:fill="auto"/>
            <w:vAlign w:val="center"/>
            <w:hideMark/>
          </w:tcPr>
          <w:p w14:paraId="2D7632E4"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28.9</w:t>
            </w:r>
          </w:p>
        </w:tc>
      </w:tr>
      <w:tr w:rsidR="005712AF" w:rsidRPr="00ED437F" w14:paraId="52BC2509"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6D26715"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Age - Young (18-29)</w:t>
            </w:r>
          </w:p>
        </w:tc>
        <w:tc>
          <w:tcPr>
            <w:tcW w:w="2920" w:type="dxa"/>
            <w:tcBorders>
              <w:top w:val="nil"/>
              <w:left w:val="nil"/>
              <w:bottom w:val="single" w:sz="4" w:space="0" w:color="auto"/>
              <w:right w:val="single" w:sz="4" w:space="0" w:color="auto"/>
            </w:tcBorders>
            <w:shd w:val="clear" w:color="auto" w:fill="auto"/>
            <w:vAlign w:val="center"/>
            <w:hideMark/>
          </w:tcPr>
          <w:p w14:paraId="40C96303"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101</w:t>
            </w:r>
          </w:p>
        </w:tc>
        <w:tc>
          <w:tcPr>
            <w:tcW w:w="2660" w:type="dxa"/>
            <w:tcBorders>
              <w:top w:val="nil"/>
              <w:left w:val="nil"/>
              <w:bottom w:val="single" w:sz="4" w:space="0" w:color="auto"/>
              <w:right w:val="single" w:sz="4" w:space="0" w:color="auto"/>
            </w:tcBorders>
            <w:shd w:val="clear" w:color="auto" w:fill="auto"/>
            <w:vAlign w:val="center"/>
            <w:hideMark/>
          </w:tcPr>
          <w:p w14:paraId="08E84C1A"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9.2</w:t>
            </w:r>
          </w:p>
        </w:tc>
      </w:tr>
      <w:tr w:rsidR="005712AF" w:rsidRPr="00ED437F" w14:paraId="1B941D25"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E5AED3"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Occupation - Professional</w:t>
            </w:r>
          </w:p>
        </w:tc>
        <w:tc>
          <w:tcPr>
            <w:tcW w:w="2920" w:type="dxa"/>
            <w:tcBorders>
              <w:top w:val="nil"/>
              <w:left w:val="nil"/>
              <w:bottom w:val="single" w:sz="4" w:space="0" w:color="auto"/>
              <w:right w:val="single" w:sz="4" w:space="0" w:color="auto"/>
            </w:tcBorders>
            <w:shd w:val="clear" w:color="auto" w:fill="auto"/>
            <w:vAlign w:val="center"/>
            <w:hideMark/>
          </w:tcPr>
          <w:p w14:paraId="0470A55B"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138</w:t>
            </w:r>
          </w:p>
        </w:tc>
        <w:tc>
          <w:tcPr>
            <w:tcW w:w="2660" w:type="dxa"/>
            <w:tcBorders>
              <w:top w:val="nil"/>
              <w:left w:val="nil"/>
              <w:bottom w:val="single" w:sz="4" w:space="0" w:color="auto"/>
              <w:right w:val="single" w:sz="4" w:space="0" w:color="auto"/>
            </w:tcBorders>
            <w:shd w:val="clear" w:color="auto" w:fill="auto"/>
            <w:vAlign w:val="center"/>
            <w:hideMark/>
          </w:tcPr>
          <w:p w14:paraId="70843938"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12.7</w:t>
            </w:r>
          </w:p>
        </w:tc>
      </w:tr>
      <w:tr w:rsidR="005712AF" w:rsidRPr="00ED437F" w14:paraId="13792FEA"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C2EDB67"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Occupation - White-collars</w:t>
            </w:r>
          </w:p>
        </w:tc>
        <w:tc>
          <w:tcPr>
            <w:tcW w:w="2920" w:type="dxa"/>
            <w:tcBorders>
              <w:top w:val="nil"/>
              <w:left w:val="nil"/>
              <w:bottom w:val="single" w:sz="4" w:space="0" w:color="auto"/>
              <w:right w:val="single" w:sz="4" w:space="0" w:color="auto"/>
            </w:tcBorders>
            <w:shd w:val="clear" w:color="auto" w:fill="auto"/>
            <w:vAlign w:val="center"/>
            <w:hideMark/>
          </w:tcPr>
          <w:p w14:paraId="4CA3B26B"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76</w:t>
            </w:r>
          </w:p>
        </w:tc>
        <w:tc>
          <w:tcPr>
            <w:tcW w:w="2660" w:type="dxa"/>
            <w:tcBorders>
              <w:top w:val="nil"/>
              <w:left w:val="nil"/>
              <w:bottom w:val="single" w:sz="4" w:space="0" w:color="auto"/>
              <w:right w:val="single" w:sz="4" w:space="0" w:color="auto"/>
            </w:tcBorders>
            <w:shd w:val="clear" w:color="auto" w:fill="auto"/>
            <w:vAlign w:val="center"/>
            <w:hideMark/>
          </w:tcPr>
          <w:p w14:paraId="3F008EF5"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7</w:t>
            </w:r>
          </w:p>
        </w:tc>
      </w:tr>
      <w:tr w:rsidR="005712AF" w:rsidRPr="00ED437F" w14:paraId="6DE3B8B0"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B2FCE7E"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Occupation - Students</w:t>
            </w:r>
          </w:p>
        </w:tc>
        <w:tc>
          <w:tcPr>
            <w:tcW w:w="2920" w:type="dxa"/>
            <w:tcBorders>
              <w:top w:val="nil"/>
              <w:left w:val="nil"/>
              <w:bottom w:val="single" w:sz="4" w:space="0" w:color="auto"/>
              <w:right w:val="single" w:sz="4" w:space="0" w:color="auto"/>
            </w:tcBorders>
            <w:shd w:val="clear" w:color="auto" w:fill="auto"/>
            <w:vAlign w:val="center"/>
            <w:hideMark/>
          </w:tcPr>
          <w:p w14:paraId="6411913C"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45</w:t>
            </w:r>
          </w:p>
        </w:tc>
        <w:tc>
          <w:tcPr>
            <w:tcW w:w="2660" w:type="dxa"/>
            <w:tcBorders>
              <w:top w:val="nil"/>
              <w:left w:val="nil"/>
              <w:bottom w:val="single" w:sz="4" w:space="0" w:color="auto"/>
              <w:right w:val="single" w:sz="4" w:space="0" w:color="auto"/>
            </w:tcBorders>
            <w:shd w:val="clear" w:color="auto" w:fill="auto"/>
            <w:vAlign w:val="center"/>
            <w:hideMark/>
          </w:tcPr>
          <w:p w14:paraId="10FDA65B"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4.1</w:t>
            </w:r>
          </w:p>
        </w:tc>
      </w:tr>
      <w:tr w:rsidR="005712AF" w:rsidRPr="00ED437F" w14:paraId="014979DA"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vAlign w:val="center"/>
          </w:tcPr>
          <w:p w14:paraId="54312AA7"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Occupation - Grey collars</w:t>
            </w:r>
          </w:p>
        </w:tc>
        <w:tc>
          <w:tcPr>
            <w:tcW w:w="2920" w:type="dxa"/>
            <w:tcBorders>
              <w:top w:val="nil"/>
              <w:left w:val="nil"/>
              <w:bottom w:val="single" w:sz="4" w:space="0" w:color="auto"/>
              <w:right w:val="single" w:sz="4" w:space="0" w:color="auto"/>
            </w:tcBorders>
            <w:shd w:val="clear" w:color="auto" w:fill="auto"/>
            <w:vAlign w:val="center"/>
          </w:tcPr>
          <w:p w14:paraId="7D3E261A"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215</w:t>
            </w:r>
          </w:p>
        </w:tc>
        <w:tc>
          <w:tcPr>
            <w:tcW w:w="2660" w:type="dxa"/>
            <w:tcBorders>
              <w:top w:val="nil"/>
              <w:left w:val="nil"/>
              <w:bottom w:val="single" w:sz="4" w:space="0" w:color="auto"/>
              <w:right w:val="single" w:sz="4" w:space="0" w:color="auto"/>
            </w:tcBorders>
            <w:shd w:val="clear" w:color="auto" w:fill="auto"/>
            <w:vAlign w:val="center"/>
          </w:tcPr>
          <w:p w14:paraId="5448A0B1"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19.7</w:t>
            </w:r>
          </w:p>
        </w:tc>
      </w:tr>
      <w:tr w:rsidR="005712AF" w:rsidRPr="00ED437F" w14:paraId="0B5B490D"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vAlign w:val="center"/>
          </w:tcPr>
          <w:p w14:paraId="7AD4419C"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Occupation - Self-employed</w:t>
            </w:r>
          </w:p>
        </w:tc>
        <w:tc>
          <w:tcPr>
            <w:tcW w:w="2920" w:type="dxa"/>
            <w:tcBorders>
              <w:top w:val="nil"/>
              <w:left w:val="nil"/>
              <w:bottom w:val="single" w:sz="4" w:space="0" w:color="auto"/>
              <w:right w:val="single" w:sz="4" w:space="0" w:color="auto"/>
            </w:tcBorders>
            <w:shd w:val="clear" w:color="auto" w:fill="auto"/>
            <w:vAlign w:val="center"/>
          </w:tcPr>
          <w:p w14:paraId="3BE5FE53"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31</w:t>
            </w:r>
          </w:p>
        </w:tc>
        <w:tc>
          <w:tcPr>
            <w:tcW w:w="2660" w:type="dxa"/>
            <w:tcBorders>
              <w:top w:val="nil"/>
              <w:left w:val="nil"/>
              <w:bottom w:val="single" w:sz="4" w:space="0" w:color="auto"/>
              <w:right w:val="single" w:sz="4" w:space="0" w:color="auto"/>
            </w:tcBorders>
            <w:shd w:val="clear" w:color="auto" w:fill="auto"/>
            <w:vAlign w:val="center"/>
          </w:tcPr>
          <w:p w14:paraId="015A96E4"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3.1</w:t>
            </w:r>
          </w:p>
        </w:tc>
      </w:tr>
      <w:tr w:rsidR="005712AF" w:rsidRPr="00ED437F" w14:paraId="208CE4D4"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80E2F3F"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Higher education</w:t>
            </w:r>
          </w:p>
        </w:tc>
        <w:tc>
          <w:tcPr>
            <w:tcW w:w="2920" w:type="dxa"/>
            <w:tcBorders>
              <w:top w:val="nil"/>
              <w:left w:val="nil"/>
              <w:bottom w:val="single" w:sz="4" w:space="0" w:color="auto"/>
              <w:right w:val="single" w:sz="4" w:space="0" w:color="auto"/>
            </w:tcBorders>
            <w:shd w:val="clear" w:color="auto" w:fill="auto"/>
            <w:vAlign w:val="center"/>
            <w:hideMark/>
          </w:tcPr>
          <w:p w14:paraId="633759B7"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458</w:t>
            </w:r>
          </w:p>
        </w:tc>
        <w:tc>
          <w:tcPr>
            <w:tcW w:w="2660" w:type="dxa"/>
            <w:tcBorders>
              <w:top w:val="nil"/>
              <w:left w:val="nil"/>
              <w:bottom w:val="single" w:sz="4" w:space="0" w:color="auto"/>
              <w:right w:val="single" w:sz="4" w:space="0" w:color="auto"/>
            </w:tcBorders>
            <w:shd w:val="clear" w:color="auto" w:fill="auto"/>
            <w:noWrap/>
            <w:vAlign w:val="center"/>
            <w:hideMark/>
          </w:tcPr>
          <w:p w14:paraId="5D79B11F"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42</w:t>
            </w:r>
          </w:p>
        </w:tc>
      </w:tr>
      <w:tr w:rsidR="005712AF" w:rsidRPr="00ED437F" w14:paraId="64FB05B1" w14:textId="77777777" w:rsidTr="000C6411">
        <w:trPr>
          <w:trHeight w:val="402"/>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58336870" w14:textId="77777777" w:rsidR="005712AF" w:rsidRPr="00ED437F" w:rsidRDefault="005712AF" w:rsidP="000C6411">
            <w:pPr>
              <w:spacing w:after="0" w:line="240" w:lineRule="auto"/>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Union membership</w:t>
            </w:r>
          </w:p>
        </w:tc>
        <w:tc>
          <w:tcPr>
            <w:tcW w:w="2920" w:type="dxa"/>
            <w:tcBorders>
              <w:top w:val="nil"/>
              <w:left w:val="nil"/>
              <w:bottom w:val="single" w:sz="4" w:space="0" w:color="auto"/>
              <w:right w:val="single" w:sz="4" w:space="0" w:color="auto"/>
            </w:tcBorders>
            <w:shd w:val="clear" w:color="auto" w:fill="auto"/>
            <w:noWrap/>
            <w:vAlign w:val="center"/>
            <w:hideMark/>
          </w:tcPr>
          <w:p w14:paraId="473A7F35"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115</w:t>
            </w:r>
          </w:p>
        </w:tc>
        <w:tc>
          <w:tcPr>
            <w:tcW w:w="2660" w:type="dxa"/>
            <w:tcBorders>
              <w:top w:val="nil"/>
              <w:left w:val="nil"/>
              <w:bottom w:val="single" w:sz="4" w:space="0" w:color="auto"/>
              <w:right w:val="single" w:sz="4" w:space="0" w:color="auto"/>
            </w:tcBorders>
            <w:shd w:val="clear" w:color="auto" w:fill="auto"/>
            <w:noWrap/>
            <w:vAlign w:val="center"/>
            <w:hideMark/>
          </w:tcPr>
          <w:p w14:paraId="2A2EEB06" w14:textId="77777777" w:rsidR="005712AF" w:rsidRPr="00ED437F" w:rsidRDefault="005712AF" w:rsidP="000C6411">
            <w:pPr>
              <w:spacing w:after="0" w:line="240" w:lineRule="auto"/>
              <w:jc w:val="center"/>
              <w:rPr>
                <w:rFonts w:ascii="Garamond" w:eastAsia="Times New Roman" w:hAnsi="Garamond" w:cs="Times New Roman"/>
                <w:color w:val="000000"/>
                <w:szCs w:val="20"/>
                <w:lang w:eastAsia="ru-RU"/>
              </w:rPr>
            </w:pPr>
            <w:r w:rsidRPr="00ED437F">
              <w:rPr>
                <w:rFonts w:ascii="Garamond" w:eastAsia="Times New Roman" w:hAnsi="Garamond" w:cs="Times New Roman"/>
                <w:color w:val="000000"/>
                <w:szCs w:val="20"/>
                <w:lang w:eastAsia="ru-RU"/>
              </w:rPr>
              <w:t>11</w:t>
            </w:r>
          </w:p>
        </w:tc>
      </w:tr>
    </w:tbl>
    <w:p w14:paraId="0D164034" w14:textId="77777777" w:rsidR="005712AF" w:rsidRPr="009D5E5D" w:rsidRDefault="005712AF" w:rsidP="005712AF">
      <w:pPr>
        <w:spacing w:before="120" w:after="0" w:line="360" w:lineRule="auto"/>
        <w:jc w:val="both"/>
        <w:rPr>
          <w:rFonts w:ascii="Garamond" w:eastAsia="Times New Roman" w:hAnsi="Garamond" w:cs="Times New Roman"/>
          <w:bCs/>
          <w:sz w:val="24"/>
          <w:szCs w:val="24"/>
          <w:lang w:val="en-US" w:eastAsia="ru-RU"/>
        </w:rPr>
      </w:pPr>
      <w:r w:rsidRPr="000932BD">
        <w:rPr>
          <w:rFonts w:ascii="Garamond" w:eastAsia="Times New Roman" w:hAnsi="Garamond" w:cs="Times New Roman"/>
          <w:bCs/>
          <w:sz w:val="24"/>
          <w:szCs w:val="24"/>
          <w:lang w:val="en-US" w:eastAsia="ru-RU"/>
        </w:rPr>
        <w:t>Source: Author from ALLBUS 2018</w:t>
      </w:r>
      <w:r>
        <w:rPr>
          <w:rFonts w:ascii="Garamond" w:eastAsia="Times New Roman" w:hAnsi="Garamond" w:cs="Times New Roman"/>
          <w:bCs/>
          <w:sz w:val="24"/>
          <w:szCs w:val="24"/>
          <w:lang w:val="en-US" w:eastAsia="ru-RU"/>
        </w:rPr>
        <w:t xml:space="preserve"> </w:t>
      </w:r>
      <w:r w:rsidRPr="00E27331">
        <w:rPr>
          <w:rFonts w:ascii="Garamond" w:eastAsia="Times New Roman" w:hAnsi="Garamond" w:cs="Times New Roman"/>
          <w:bCs/>
          <w:sz w:val="24"/>
          <w:szCs w:val="24"/>
          <w:lang w:val="en-US" w:eastAsia="ru-RU"/>
        </w:rPr>
        <w:t>(Bau</w:t>
      </w:r>
      <w:r>
        <w:rPr>
          <w:rFonts w:ascii="Garamond" w:eastAsia="Times New Roman" w:hAnsi="Garamond" w:cs="Times New Roman"/>
          <w:bCs/>
          <w:sz w:val="24"/>
          <w:szCs w:val="24"/>
          <w:lang w:val="en-US" w:eastAsia="ru-RU"/>
        </w:rPr>
        <w:t xml:space="preserve">mann, Schulz, and </w:t>
      </w:r>
      <w:proofErr w:type="spellStart"/>
      <w:r>
        <w:rPr>
          <w:rFonts w:ascii="Garamond" w:eastAsia="Times New Roman" w:hAnsi="Garamond" w:cs="Times New Roman"/>
          <w:bCs/>
          <w:sz w:val="24"/>
          <w:szCs w:val="24"/>
          <w:lang w:val="en-US" w:eastAsia="ru-RU"/>
        </w:rPr>
        <w:t>Thiesen</w:t>
      </w:r>
      <w:proofErr w:type="spellEnd"/>
      <w:r>
        <w:rPr>
          <w:rFonts w:ascii="Garamond" w:eastAsia="Times New Roman" w:hAnsi="Garamond" w:cs="Times New Roman"/>
          <w:bCs/>
          <w:sz w:val="24"/>
          <w:szCs w:val="24"/>
          <w:lang w:val="en-US" w:eastAsia="ru-RU"/>
        </w:rPr>
        <w:t xml:space="preserve"> 2019)</w:t>
      </w:r>
      <w:r w:rsidRPr="000932BD">
        <w:rPr>
          <w:rFonts w:ascii="Garamond" w:eastAsia="Times New Roman" w:hAnsi="Garamond" w:cs="Times New Roman"/>
          <w:bCs/>
          <w:sz w:val="24"/>
          <w:szCs w:val="24"/>
          <w:lang w:val="en-US" w:eastAsia="ru-RU"/>
        </w:rPr>
        <w:t>.</w:t>
      </w:r>
    </w:p>
    <w:p w14:paraId="29A9C9C2" w14:textId="77777777" w:rsidR="005712AF" w:rsidRPr="0034135E" w:rsidRDefault="005712AF" w:rsidP="005712AF">
      <w:pPr>
        <w:spacing w:before="240" w:after="120" w:line="360" w:lineRule="auto"/>
        <w:jc w:val="both"/>
        <w:rPr>
          <w:rFonts w:ascii="Garamond" w:eastAsia="Times New Roman" w:hAnsi="Garamond" w:cs="Times New Roman"/>
          <w:b/>
          <w:bCs/>
          <w:sz w:val="24"/>
          <w:szCs w:val="24"/>
          <w:lang w:val="en-US" w:eastAsia="ru-RU"/>
        </w:rPr>
      </w:pPr>
      <w:r w:rsidRPr="0034135E">
        <w:rPr>
          <w:rFonts w:ascii="Garamond" w:eastAsia="Times New Roman" w:hAnsi="Garamond" w:cs="Times New Roman"/>
          <w:b/>
          <w:bCs/>
          <w:sz w:val="24"/>
          <w:szCs w:val="24"/>
          <w:lang w:val="en-US" w:eastAsia="ru-RU"/>
        </w:rPr>
        <w:lastRenderedPageBreak/>
        <w:t>Table 3.2. Descriptive statistics of independent interval variables: East Germany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76"/>
        <w:gridCol w:w="992"/>
        <w:gridCol w:w="992"/>
        <w:gridCol w:w="1134"/>
        <w:gridCol w:w="1134"/>
      </w:tblGrid>
      <w:tr w:rsidR="005712AF" w:rsidRPr="0034135E" w14:paraId="7B8B50CB" w14:textId="77777777" w:rsidTr="000C6411">
        <w:trPr>
          <w:trHeight w:val="630"/>
        </w:trPr>
        <w:tc>
          <w:tcPr>
            <w:tcW w:w="2972" w:type="dxa"/>
            <w:shd w:val="clear" w:color="auto" w:fill="auto"/>
            <w:vAlign w:val="center"/>
            <w:hideMark/>
          </w:tcPr>
          <w:p w14:paraId="71ADDA29" w14:textId="77777777" w:rsidR="005712AF" w:rsidRPr="0034135E" w:rsidRDefault="005712AF" w:rsidP="000C6411">
            <w:pPr>
              <w:spacing w:after="0" w:line="240" w:lineRule="auto"/>
              <w:jc w:val="center"/>
              <w:rPr>
                <w:rFonts w:ascii="Garamond" w:eastAsia="Times New Roman" w:hAnsi="Garamond" w:cs="Times New Roman"/>
                <w:i/>
                <w:color w:val="000000"/>
                <w:lang w:eastAsia="ru-RU"/>
              </w:rPr>
            </w:pPr>
            <w:r w:rsidRPr="0034135E">
              <w:rPr>
                <w:rFonts w:ascii="Garamond" w:eastAsia="Times New Roman" w:hAnsi="Garamond" w:cs="Times New Roman"/>
                <w:i/>
                <w:color w:val="000000"/>
                <w:lang w:eastAsia="ru-RU"/>
              </w:rPr>
              <w:t>Variable</w:t>
            </w:r>
          </w:p>
        </w:tc>
        <w:tc>
          <w:tcPr>
            <w:tcW w:w="1276" w:type="dxa"/>
            <w:shd w:val="clear" w:color="auto" w:fill="auto"/>
            <w:vAlign w:val="center"/>
            <w:hideMark/>
          </w:tcPr>
          <w:p w14:paraId="35974A0F" w14:textId="77777777" w:rsidR="005712AF" w:rsidRPr="0034135E" w:rsidRDefault="005712AF" w:rsidP="000C6411">
            <w:pPr>
              <w:spacing w:after="0" w:line="240" w:lineRule="auto"/>
              <w:jc w:val="center"/>
              <w:rPr>
                <w:rFonts w:ascii="Garamond" w:eastAsia="Times New Roman" w:hAnsi="Garamond" w:cs="Times New Roman"/>
                <w:i/>
                <w:color w:val="000000"/>
                <w:lang w:eastAsia="ru-RU"/>
              </w:rPr>
            </w:pPr>
            <w:r w:rsidRPr="0034135E">
              <w:rPr>
                <w:rFonts w:ascii="Garamond" w:eastAsia="Times New Roman" w:hAnsi="Garamond" w:cs="Times New Roman"/>
                <w:i/>
                <w:color w:val="000000"/>
                <w:lang w:eastAsia="ru-RU"/>
              </w:rPr>
              <w:t>Mean</w:t>
            </w:r>
          </w:p>
        </w:tc>
        <w:tc>
          <w:tcPr>
            <w:tcW w:w="992" w:type="dxa"/>
            <w:shd w:val="clear" w:color="auto" w:fill="auto"/>
            <w:vAlign w:val="center"/>
            <w:hideMark/>
          </w:tcPr>
          <w:p w14:paraId="08010256" w14:textId="77777777" w:rsidR="005712AF" w:rsidRPr="0034135E" w:rsidRDefault="005712AF" w:rsidP="000C6411">
            <w:pPr>
              <w:spacing w:after="0" w:line="240" w:lineRule="auto"/>
              <w:jc w:val="center"/>
              <w:rPr>
                <w:rFonts w:ascii="Garamond" w:eastAsia="Times New Roman" w:hAnsi="Garamond" w:cs="Times New Roman"/>
                <w:i/>
                <w:color w:val="000000"/>
                <w:lang w:eastAsia="ru-RU"/>
              </w:rPr>
            </w:pPr>
            <w:r w:rsidRPr="0034135E">
              <w:rPr>
                <w:rFonts w:ascii="Garamond" w:eastAsia="Times New Roman" w:hAnsi="Garamond" w:cs="Times New Roman"/>
                <w:i/>
                <w:color w:val="000000"/>
                <w:lang w:eastAsia="ru-RU"/>
              </w:rPr>
              <w:t>Median</w:t>
            </w:r>
          </w:p>
        </w:tc>
        <w:tc>
          <w:tcPr>
            <w:tcW w:w="992" w:type="dxa"/>
            <w:shd w:val="clear" w:color="auto" w:fill="auto"/>
            <w:vAlign w:val="center"/>
            <w:hideMark/>
          </w:tcPr>
          <w:p w14:paraId="29C34B66" w14:textId="77777777" w:rsidR="005712AF" w:rsidRPr="0034135E" w:rsidRDefault="005712AF" w:rsidP="000C6411">
            <w:pPr>
              <w:spacing w:after="0" w:line="240" w:lineRule="auto"/>
              <w:jc w:val="center"/>
              <w:rPr>
                <w:rFonts w:ascii="Garamond" w:eastAsia="Times New Roman" w:hAnsi="Garamond" w:cs="Times New Roman"/>
                <w:i/>
                <w:color w:val="000000"/>
                <w:lang w:eastAsia="ru-RU"/>
              </w:rPr>
            </w:pPr>
            <w:r w:rsidRPr="0034135E">
              <w:rPr>
                <w:rFonts w:ascii="Garamond" w:eastAsia="Times New Roman" w:hAnsi="Garamond" w:cs="Times New Roman"/>
                <w:i/>
                <w:color w:val="000000"/>
                <w:lang w:eastAsia="ru-RU"/>
              </w:rPr>
              <w:t>Min.</w:t>
            </w:r>
          </w:p>
        </w:tc>
        <w:tc>
          <w:tcPr>
            <w:tcW w:w="1134" w:type="dxa"/>
            <w:shd w:val="clear" w:color="auto" w:fill="auto"/>
            <w:vAlign w:val="center"/>
            <w:hideMark/>
          </w:tcPr>
          <w:p w14:paraId="44305DB3" w14:textId="77777777" w:rsidR="005712AF" w:rsidRPr="0034135E" w:rsidRDefault="005712AF" w:rsidP="000C6411">
            <w:pPr>
              <w:spacing w:after="0" w:line="240" w:lineRule="auto"/>
              <w:jc w:val="center"/>
              <w:rPr>
                <w:rFonts w:ascii="Garamond" w:eastAsia="Times New Roman" w:hAnsi="Garamond" w:cs="Times New Roman"/>
                <w:i/>
                <w:color w:val="000000"/>
                <w:lang w:eastAsia="ru-RU"/>
              </w:rPr>
            </w:pPr>
            <w:r w:rsidRPr="0034135E">
              <w:rPr>
                <w:rFonts w:ascii="Garamond" w:eastAsia="Times New Roman" w:hAnsi="Garamond" w:cs="Times New Roman"/>
                <w:i/>
                <w:color w:val="000000"/>
                <w:lang w:eastAsia="ru-RU"/>
              </w:rPr>
              <w:t>Max.</w:t>
            </w:r>
          </w:p>
        </w:tc>
        <w:tc>
          <w:tcPr>
            <w:tcW w:w="1134" w:type="dxa"/>
            <w:shd w:val="clear" w:color="auto" w:fill="auto"/>
            <w:vAlign w:val="center"/>
            <w:hideMark/>
          </w:tcPr>
          <w:p w14:paraId="0E87671C" w14:textId="77777777" w:rsidR="005712AF" w:rsidRPr="0034135E" w:rsidRDefault="005712AF" w:rsidP="000C6411">
            <w:pPr>
              <w:spacing w:after="0" w:line="240" w:lineRule="auto"/>
              <w:jc w:val="center"/>
              <w:rPr>
                <w:rFonts w:ascii="Garamond" w:eastAsia="Times New Roman" w:hAnsi="Garamond" w:cs="Times New Roman"/>
                <w:i/>
                <w:color w:val="000000"/>
                <w:lang w:eastAsia="ru-RU"/>
              </w:rPr>
            </w:pPr>
            <w:r w:rsidRPr="0034135E">
              <w:rPr>
                <w:rFonts w:ascii="Garamond" w:eastAsia="Times New Roman" w:hAnsi="Garamond" w:cs="Times New Roman"/>
                <w:i/>
                <w:color w:val="000000"/>
                <w:lang w:eastAsia="ru-RU"/>
              </w:rPr>
              <w:t>Std. deviation</w:t>
            </w:r>
          </w:p>
        </w:tc>
      </w:tr>
      <w:tr w:rsidR="005712AF" w:rsidRPr="0034135E" w14:paraId="7FF8FF45" w14:textId="77777777" w:rsidTr="000C6411">
        <w:trPr>
          <w:trHeight w:val="630"/>
        </w:trPr>
        <w:tc>
          <w:tcPr>
            <w:tcW w:w="2972" w:type="dxa"/>
            <w:shd w:val="clear" w:color="auto" w:fill="auto"/>
            <w:vAlign w:val="center"/>
            <w:hideMark/>
          </w:tcPr>
          <w:p w14:paraId="2AA781B8" w14:textId="77777777" w:rsidR="005712AF" w:rsidRPr="0034135E" w:rsidRDefault="005712AF" w:rsidP="000C6411">
            <w:pPr>
              <w:spacing w:after="0" w:line="240" w:lineRule="auto"/>
              <w:rPr>
                <w:rFonts w:ascii="Garamond" w:eastAsia="Times New Roman" w:hAnsi="Garamond" w:cs="Times New Roman"/>
                <w:color w:val="000000"/>
                <w:lang w:val="en-US" w:eastAsia="ru-RU"/>
              </w:rPr>
            </w:pPr>
            <w:r w:rsidRPr="0034135E">
              <w:rPr>
                <w:rFonts w:ascii="Garamond" w:eastAsia="Times New Roman" w:hAnsi="Garamond" w:cs="Times New Roman"/>
                <w:color w:val="000000"/>
                <w:lang w:val="en-US" w:eastAsia="ru-RU"/>
              </w:rPr>
              <w:t>Ideological self-placement  (0 - far left, 10 - far right)</w:t>
            </w:r>
          </w:p>
        </w:tc>
        <w:tc>
          <w:tcPr>
            <w:tcW w:w="1276" w:type="dxa"/>
            <w:shd w:val="clear" w:color="auto" w:fill="auto"/>
            <w:noWrap/>
            <w:vAlign w:val="center"/>
            <w:hideMark/>
          </w:tcPr>
          <w:p w14:paraId="772840FD"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4.79</w:t>
            </w:r>
          </w:p>
        </w:tc>
        <w:tc>
          <w:tcPr>
            <w:tcW w:w="992" w:type="dxa"/>
            <w:shd w:val="clear" w:color="auto" w:fill="auto"/>
            <w:vAlign w:val="center"/>
            <w:hideMark/>
          </w:tcPr>
          <w:p w14:paraId="5E521F3F"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5</w:t>
            </w:r>
          </w:p>
        </w:tc>
        <w:tc>
          <w:tcPr>
            <w:tcW w:w="992" w:type="dxa"/>
            <w:shd w:val="clear" w:color="auto" w:fill="auto"/>
            <w:vAlign w:val="center"/>
            <w:hideMark/>
          </w:tcPr>
          <w:p w14:paraId="0F859F1D"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w:t>
            </w:r>
          </w:p>
        </w:tc>
        <w:tc>
          <w:tcPr>
            <w:tcW w:w="1134" w:type="dxa"/>
            <w:shd w:val="clear" w:color="auto" w:fill="auto"/>
            <w:vAlign w:val="center"/>
            <w:hideMark/>
          </w:tcPr>
          <w:p w14:paraId="1435CC3E"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10</w:t>
            </w:r>
          </w:p>
        </w:tc>
        <w:tc>
          <w:tcPr>
            <w:tcW w:w="1134" w:type="dxa"/>
            <w:shd w:val="clear" w:color="auto" w:fill="auto"/>
            <w:noWrap/>
            <w:vAlign w:val="center"/>
            <w:hideMark/>
          </w:tcPr>
          <w:p w14:paraId="6EE91C8B"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1.74</w:t>
            </w:r>
          </w:p>
        </w:tc>
      </w:tr>
      <w:tr w:rsidR="005712AF" w:rsidRPr="0034135E" w14:paraId="71EF469A" w14:textId="77777777" w:rsidTr="000C6411">
        <w:trPr>
          <w:trHeight w:val="630"/>
        </w:trPr>
        <w:tc>
          <w:tcPr>
            <w:tcW w:w="2972" w:type="dxa"/>
            <w:shd w:val="clear" w:color="auto" w:fill="auto"/>
            <w:vAlign w:val="center"/>
            <w:hideMark/>
          </w:tcPr>
          <w:p w14:paraId="0E660729" w14:textId="77777777" w:rsidR="005712AF" w:rsidRPr="0034135E" w:rsidRDefault="005712AF" w:rsidP="000C6411">
            <w:pPr>
              <w:spacing w:after="0" w:line="240" w:lineRule="auto"/>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Post-material values absorbance</w:t>
            </w:r>
          </w:p>
        </w:tc>
        <w:tc>
          <w:tcPr>
            <w:tcW w:w="1276" w:type="dxa"/>
            <w:shd w:val="clear" w:color="auto" w:fill="auto"/>
            <w:noWrap/>
            <w:vAlign w:val="center"/>
            <w:hideMark/>
          </w:tcPr>
          <w:p w14:paraId="7B2D6491"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2.43</w:t>
            </w:r>
          </w:p>
        </w:tc>
        <w:tc>
          <w:tcPr>
            <w:tcW w:w="992" w:type="dxa"/>
            <w:shd w:val="clear" w:color="auto" w:fill="auto"/>
            <w:vAlign w:val="center"/>
            <w:hideMark/>
          </w:tcPr>
          <w:p w14:paraId="1778031E"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3</w:t>
            </w:r>
          </w:p>
        </w:tc>
        <w:tc>
          <w:tcPr>
            <w:tcW w:w="992" w:type="dxa"/>
            <w:shd w:val="clear" w:color="auto" w:fill="auto"/>
            <w:vAlign w:val="center"/>
            <w:hideMark/>
          </w:tcPr>
          <w:p w14:paraId="721C53DD"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w:t>
            </w:r>
          </w:p>
        </w:tc>
        <w:tc>
          <w:tcPr>
            <w:tcW w:w="1134" w:type="dxa"/>
            <w:shd w:val="clear" w:color="auto" w:fill="auto"/>
            <w:vAlign w:val="center"/>
            <w:hideMark/>
          </w:tcPr>
          <w:p w14:paraId="43CA2771"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4</w:t>
            </w:r>
          </w:p>
        </w:tc>
        <w:tc>
          <w:tcPr>
            <w:tcW w:w="1134" w:type="dxa"/>
            <w:shd w:val="clear" w:color="auto" w:fill="auto"/>
            <w:vAlign w:val="center"/>
            <w:hideMark/>
          </w:tcPr>
          <w:p w14:paraId="3D57F218"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0.94</w:t>
            </w:r>
          </w:p>
        </w:tc>
      </w:tr>
      <w:tr w:rsidR="005712AF" w:rsidRPr="0034135E" w14:paraId="1E183EA7" w14:textId="77777777" w:rsidTr="000C6411">
        <w:trPr>
          <w:trHeight w:val="630"/>
        </w:trPr>
        <w:tc>
          <w:tcPr>
            <w:tcW w:w="2972" w:type="dxa"/>
            <w:shd w:val="clear" w:color="auto" w:fill="auto"/>
            <w:vAlign w:val="center"/>
            <w:hideMark/>
          </w:tcPr>
          <w:p w14:paraId="03747184" w14:textId="77777777" w:rsidR="005712AF" w:rsidRPr="0034135E" w:rsidRDefault="005712AF" w:rsidP="000C6411">
            <w:pPr>
              <w:spacing w:after="0" w:line="240" w:lineRule="auto"/>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Optimism towards immigrants' influx</w:t>
            </w:r>
          </w:p>
        </w:tc>
        <w:tc>
          <w:tcPr>
            <w:tcW w:w="1276" w:type="dxa"/>
            <w:shd w:val="clear" w:color="auto" w:fill="auto"/>
            <w:noWrap/>
            <w:vAlign w:val="center"/>
            <w:hideMark/>
          </w:tcPr>
          <w:p w14:paraId="25339A44"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9.09</w:t>
            </w:r>
          </w:p>
        </w:tc>
        <w:tc>
          <w:tcPr>
            <w:tcW w:w="992" w:type="dxa"/>
            <w:shd w:val="clear" w:color="auto" w:fill="auto"/>
            <w:vAlign w:val="center"/>
            <w:hideMark/>
          </w:tcPr>
          <w:p w14:paraId="47B1D6DA"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9</w:t>
            </w:r>
          </w:p>
        </w:tc>
        <w:tc>
          <w:tcPr>
            <w:tcW w:w="992" w:type="dxa"/>
            <w:shd w:val="clear" w:color="auto" w:fill="auto"/>
            <w:vAlign w:val="center"/>
            <w:hideMark/>
          </w:tcPr>
          <w:p w14:paraId="0C8C5339"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4</w:t>
            </w:r>
          </w:p>
        </w:tc>
        <w:tc>
          <w:tcPr>
            <w:tcW w:w="1134" w:type="dxa"/>
            <w:shd w:val="clear" w:color="auto" w:fill="auto"/>
            <w:vAlign w:val="center"/>
            <w:hideMark/>
          </w:tcPr>
          <w:p w14:paraId="7E616601"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19</w:t>
            </w:r>
          </w:p>
        </w:tc>
        <w:tc>
          <w:tcPr>
            <w:tcW w:w="1134" w:type="dxa"/>
            <w:shd w:val="clear" w:color="auto" w:fill="auto"/>
            <w:noWrap/>
            <w:vAlign w:val="center"/>
            <w:hideMark/>
          </w:tcPr>
          <w:p w14:paraId="79932C52"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3.26</w:t>
            </w:r>
          </w:p>
        </w:tc>
      </w:tr>
      <w:tr w:rsidR="005712AF" w:rsidRPr="0034135E" w14:paraId="3B9EBAE1" w14:textId="77777777" w:rsidTr="000C6411">
        <w:trPr>
          <w:trHeight w:val="630"/>
        </w:trPr>
        <w:tc>
          <w:tcPr>
            <w:tcW w:w="2972" w:type="dxa"/>
            <w:shd w:val="clear" w:color="auto" w:fill="auto"/>
            <w:vAlign w:val="center"/>
            <w:hideMark/>
          </w:tcPr>
          <w:p w14:paraId="23283FB2" w14:textId="77777777" w:rsidR="005712AF" w:rsidRPr="0034135E" w:rsidRDefault="005712AF" w:rsidP="000C6411">
            <w:pPr>
              <w:spacing w:after="0" w:line="240" w:lineRule="auto"/>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Euro-optimism</w:t>
            </w:r>
          </w:p>
        </w:tc>
        <w:tc>
          <w:tcPr>
            <w:tcW w:w="1276" w:type="dxa"/>
            <w:shd w:val="clear" w:color="auto" w:fill="auto"/>
            <w:noWrap/>
            <w:vAlign w:val="center"/>
            <w:hideMark/>
          </w:tcPr>
          <w:p w14:paraId="5A205DE3"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6.66</w:t>
            </w:r>
          </w:p>
        </w:tc>
        <w:tc>
          <w:tcPr>
            <w:tcW w:w="992" w:type="dxa"/>
            <w:shd w:val="clear" w:color="auto" w:fill="auto"/>
            <w:vAlign w:val="center"/>
            <w:hideMark/>
          </w:tcPr>
          <w:p w14:paraId="26BEBF95"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6</w:t>
            </w:r>
          </w:p>
        </w:tc>
        <w:tc>
          <w:tcPr>
            <w:tcW w:w="992" w:type="dxa"/>
            <w:shd w:val="clear" w:color="auto" w:fill="auto"/>
            <w:vAlign w:val="center"/>
            <w:hideMark/>
          </w:tcPr>
          <w:p w14:paraId="7EC8831A"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2</w:t>
            </w:r>
          </w:p>
        </w:tc>
        <w:tc>
          <w:tcPr>
            <w:tcW w:w="1134" w:type="dxa"/>
            <w:shd w:val="clear" w:color="auto" w:fill="auto"/>
            <w:vAlign w:val="center"/>
            <w:hideMark/>
          </w:tcPr>
          <w:p w14:paraId="6D5A83B0"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14</w:t>
            </w:r>
          </w:p>
        </w:tc>
        <w:tc>
          <w:tcPr>
            <w:tcW w:w="1134" w:type="dxa"/>
            <w:shd w:val="clear" w:color="auto" w:fill="auto"/>
            <w:noWrap/>
            <w:vAlign w:val="center"/>
            <w:hideMark/>
          </w:tcPr>
          <w:p w14:paraId="447AF1E5"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2.78</w:t>
            </w:r>
          </w:p>
        </w:tc>
      </w:tr>
      <w:tr w:rsidR="005712AF" w:rsidRPr="0034135E" w14:paraId="29136937" w14:textId="77777777" w:rsidTr="000C6411">
        <w:trPr>
          <w:trHeight w:val="630"/>
        </w:trPr>
        <w:tc>
          <w:tcPr>
            <w:tcW w:w="2972" w:type="dxa"/>
            <w:shd w:val="clear" w:color="auto" w:fill="auto"/>
            <w:vAlign w:val="center"/>
            <w:hideMark/>
          </w:tcPr>
          <w:p w14:paraId="537417AA" w14:textId="77777777" w:rsidR="005712AF" w:rsidRPr="0034135E" w:rsidRDefault="005712AF" w:rsidP="000C6411">
            <w:pPr>
              <w:spacing w:after="0" w:line="240" w:lineRule="auto"/>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Trust to federal governemnt</w:t>
            </w:r>
          </w:p>
        </w:tc>
        <w:tc>
          <w:tcPr>
            <w:tcW w:w="1276" w:type="dxa"/>
            <w:shd w:val="clear" w:color="auto" w:fill="auto"/>
            <w:noWrap/>
            <w:vAlign w:val="center"/>
            <w:hideMark/>
          </w:tcPr>
          <w:p w14:paraId="27BCAB01"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3.79</w:t>
            </w:r>
          </w:p>
        </w:tc>
        <w:tc>
          <w:tcPr>
            <w:tcW w:w="992" w:type="dxa"/>
            <w:shd w:val="clear" w:color="auto" w:fill="auto"/>
            <w:vAlign w:val="center"/>
            <w:hideMark/>
          </w:tcPr>
          <w:p w14:paraId="0BF8FB77"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4</w:t>
            </w:r>
          </w:p>
        </w:tc>
        <w:tc>
          <w:tcPr>
            <w:tcW w:w="992" w:type="dxa"/>
            <w:shd w:val="clear" w:color="auto" w:fill="auto"/>
            <w:vAlign w:val="center"/>
            <w:hideMark/>
          </w:tcPr>
          <w:p w14:paraId="69D3BD40"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w:t>
            </w:r>
          </w:p>
        </w:tc>
        <w:tc>
          <w:tcPr>
            <w:tcW w:w="1134" w:type="dxa"/>
            <w:shd w:val="clear" w:color="auto" w:fill="auto"/>
            <w:vAlign w:val="center"/>
            <w:hideMark/>
          </w:tcPr>
          <w:p w14:paraId="7B1022DA"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7</w:t>
            </w:r>
          </w:p>
        </w:tc>
        <w:tc>
          <w:tcPr>
            <w:tcW w:w="1134" w:type="dxa"/>
            <w:shd w:val="clear" w:color="auto" w:fill="auto"/>
            <w:noWrap/>
            <w:vAlign w:val="center"/>
            <w:hideMark/>
          </w:tcPr>
          <w:p w14:paraId="351606E6"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1.48</w:t>
            </w:r>
          </w:p>
        </w:tc>
      </w:tr>
      <w:tr w:rsidR="005712AF" w:rsidRPr="0034135E" w14:paraId="523F9A31" w14:textId="77777777" w:rsidTr="000C6411">
        <w:trPr>
          <w:trHeight w:val="630"/>
        </w:trPr>
        <w:tc>
          <w:tcPr>
            <w:tcW w:w="2972" w:type="dxa"/>
            <w:shd w:val="clear" w:color="auto" w:fill="auto"/>
            <w:vAlign w:val="center"/>
            <w:hideMark/>
          </w:tcPr>
          <w:p w14:paraId="68B83DA4" w14:textId="77777777" w:rsidR="005712AF" w:rsidRPr="0034135E" w:rsidRDefault="005712AF" w:rsidP="000C6411">
            <w:pPr>
              <w:spacing w:after="0" w:line="240" w:lineRule="auto"/>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Current economic situation. FRG</w:t>
            </w:r>
          </w:p>
        </w:tc>
        <w:tc>
          <w:tcPr>
            <w:tcW w:w="1276" w:type="dxa"/>
            <w:shd w:val="clear" w:color="auto" w:fill="auto"/>
            <w:noWrap/>
            <w:vAlign w:val="center"/>
            <w:hideMark/>
          </w:tcPr>
          <w:p w14:paraId="7F21B489"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2.25</w:t>
            </w:r>
          </w:p>
        </w:tc>
        <w:tc>
          <w:tcPr>
            <w:tcW w:w="992" w:type="dxa"/>
            <w:shd w:val="clear" w:color="auto" w:fill="auto"/>
            <w:vAlign w:val="center"/>
            <w:hideMark/>
          </w:tcPr>
          <w:p w14:paraId="4B17E48E"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2</w:t>
            </w:r>
          </w:p>
        </w:tc>
        <w:tc>
          <w:tcPr>
            <w:tcW w:w="992" w:type="dxa"/>
            <w:shd w:val="clear" w:color="auto" w:fill="auto"/>
            <w:vAlign w:val="center"/>
            <w:hideMark/>
          </w:tcPr>
          <w:p w14:paraId="6EA7EDEE"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w:t>
            </w:r>
          </w:p>
        </w:tc>
        <w:tc>
          <w:tcPr>
            <w:tcW w:w="1134" w:type="dxa"/>
            <w:shd w:val="clear" w:color="auto" w:fill="auto"/>
            <w:vAlign w:val="center"/>
            <w:hideMark/>
          </w:tcPr>
          <w:p w14:paraId="3B5FB534"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5</w:t>
            </w:r>
          </w:p>
        </w:tc>
        <w:tc>
          <w:tcPr>
            <w:tcW w:w="1134" w:type="dxa"/>
            <w:shd w:val="clear" w:color="auto" w:fill="auto"/>
            <w:noWrap/>
            <w:vAlign w:val="center"/>
            <w:hideMark/>
          </w:tcPr>
          <w:p w14:paraId="61B75B8A"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0.8</w:t>
            </w:r>
          </w:p>
        </w:tc>
      </w:tr>
      <w:tr w:rsidR="005712AF" w:rsidRPr="0034135E" w14:paraId="31E07287" w14:textId="77777777" w:rsidTr="000C6411">
        <w:trPr>
          <w:trHeight w:val="630"/>
        </w:trPr>
        <w:tc>
          <w:tcPr>
            <w:tcW w:w="2972" w:type="dxa"/>
            <w:shd w:val="clear" w:color="auto" w:fill="auto"/>
            <w:vAlign w:val="center"/>
            <w:hideMark/>
          </w:tcPr>
          <w:p w14:paraId="6D0B3A91" w14:textId="77777777" w:rsidR="005712AF" w:rsidRPr="0034135E" w:rsidRDefault="005712AF" w:rsidP="000C6411">
            <w:pPr>
              <w:spacing w:after="0" w:line="240" w:lineRule="auto"/>
              <w:rPr>
                <w:rFonts w:ascii="Garamond" w:eastAsia="Times New Roman" w:hAnsi="Garamond" w:cs="Times New Roman"/>
                <w:color w:val="000000"/>
                <w:lang w:val="en-US" w:eastAsia="ru-RU"/>
              </w:rPr>
            </w:pPr>
            <w:r w:rsidRPr="0034135E">
              <w:rPr>
                <w:rFonts w:ascii="Garamond" w:eastAsia="Times New Roman" w:hAnsi="Garamond" w:cs="Times New Roman"/>
                <w:color w:val="000000"/>
                <w:lang w:val="en-US" w:eastAsia="ru-RU"/>
              </w:rPr>
              <w:t>Social protection - primary state aim</w:t>
            </w:r>
          </w:p>
        </w:tc>
        <w:tc>
          <w:tcPr>
            <w:tcW w:w="1276" w:type="dxa"/>
            <w:shd w:val="clear" w:color="auto" w:fill="auto"/>
            <w:noWrap/>
            <w:vAlign w:val="center"/>
            <w:hideMark/>
          </w:tcPr>
          <w:p w14:paraId="62D2B4AD"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1.65</w:t>
            </w:r>
          </w:p>
        </w:tc>
        <w:tc>
          <w:tcPr>
            <w:tcW w:w="992" w:type="dxa"/>
            <w:shd w:val="clear" w:color="auto" w:fill="auto"/>
            <w:vAlign w:val="center"/>
            <w:hideMark/>
          </w:tcPr>
          <w:p w14:paraId="486A2F2F"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w:t>
            </w:r>
          </w:p>
        </w:tc>
        <w:tc>
          <w:tcPr>
            <w:tcW w:w="992" w:type="dxa"/>
            <w:shd w:val="clear" w:color="auto" w:fill="auto"/>
            <w:vAlign w:val="center"/>
            <w:hideMark/>
          </w:tcPr>
          <w:p w14:paraId="2CA0EBDA"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1</w:t>
            </w:r>
          </w:p>
        </w:tc>
        <w:tc>
          <w:tcPr>
            <w:tcW w:w="1134" w:type="dxa"/>
            <w:shd w:val="clear" w:color="auto" w:fill="auto"/>
            <w:vAlign w:val="center"/>
            <w:hideMark/>
          </w:tcPr>
          <w:p w14:paraId="3484D281"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5</w:t>
            </w:r>
          </w:p>
        </w:tc>
        <w:tc>
          <w:tcPr>
            <w:tcW w:w="1134" w:type="dxa"/>
            <w:shd w:val="clear" w:color="auto" w:fill="auto"/>
            <w:noWrap/>
            <w:vAlign w:val="center"/>
            <w:hideMark/>
          </w:tcPr>
          <w:p w14:paraId="668C5D34" w14:textId="77777777" w:rsidR="005712AF" w:rsidRPr="0034135E" w:rsidRDefault="005712AF" w:rsidP="000C6411">
            <w:pPr>
              <w:spacing w:after="0" w:line="240" w:lineRule="auto"/>
              <w:jc w:val="center"/>
              <w:rPr>
                <w:rFonts w:ascii="Garamond" w:eastAsia="Times New Roman" w:hAnsi="Garamond" w:cs="Times New Roman"/>
                <w:color w:val="000000"/>
                <w:lang w:eastAsia="ru-RU"/>
              </w:rPr>
            </w:pPr>
            <w:r w:rsidRPr="0034135E">
              <w:rPr>
                <w:rFonts w:ascii="Garamond" w:eastAsia="Times New Roman" w:hAnsi="Garamond" w:cs="Times New Roman"/>
                <w:color w:val="000000"/>
                <w:lang w:eastAsia="ru-RU"/>
              </w:rPr>
              <w:t>0.88</w:t>
            </w:r>
          </w:p>
        </w:tc>
      </w:tr>
    </w:tbl>
    <w:p w14:paraId="0A966855" w14:textId="77777777" w:rsidR="005712AF" w:rsidRDefault="005712AF" w:rsidP="005712AF">
      <w:pPr>
        <w:spacing w:before="120" w:after="0" w:line="360" w:lineRule="auto"/>
        <w:rPr>
          <w:rFonts w:ascii="Garamond" w:eastAsia="Times New Roman" w:hAnsi="Garamond" w:cs="Times New Roman"/>
          <w:bCs/>
          <w:sz w:val="24"/>
          <w:szCs w:val="24"/>
          <w:lang w:val="en-US" w:eastAsia="ru-RU"/>
        </w:rPr>
      </w:pPr>
      <w:r w:rsidRPr="000932BD">
        <w:rPr>
          <w:rFonts w:ascii="Garamond" w:eastAsia="Times New Roman" w:hAnsi="Garamond" w:cs="Times New Roman"/>
          <w:bCs/>
          <w:sz w:val="24"/>
          <w:szCs w:val="24"/>
          <w:lang w:val="en-US" w:eastAsia="ru-RU"/>
        </w:rPr>
        <w:t>Source: Author from ALLBUS 2018</w:t>
      </w:r>
      <w:r>
        <w:rPr>
          <w:rFonts w:ascii="Garamond" w:eastAsia="Times New Roman" w:hAnsi="Garamond" w:cs="Times New Roman"/>
          <w:bCs/>
          <w:sz w:val="24"/>
          <w:szCs w:val="24"/>
          <w:lang w:val="en-US" w:eastAsia="ru-RU"/>
        </w:rPr>
        <w:t xml:space="preserve"> </w:t>
      </w:r>
      <w:r w:rsidRPr="0034135E">
        <w:rPr>
          <w:rFonts w:ascii="Garamond" w:eastAsia="Times New Roman" w:hAnsi="Garamond" w:cs="Times New Roman"/>
          <w:bCs/>
          <w:sz w:val="24"/>
          <w:szCs w:val="24"/>
          <w:lang w:val="en-US" w:eastAsia="ru-RU"/>
        </w:rPr>
        <w:t>(Bau</w:t>
      </w:r>
      <w:r>
        <w:rPr>
          <w:rFonts w:ascii="Garamond" w:eastAsia="Times New Roman" w:hAnsi="Garamond" w:cs="Times New Roman"/>
          <w:bCs/>
          <w:sz w:val="24"/>
          <w:szCs w:val="24"/>
          <w:lang w:val="en-US" w:eastAsia="ru-RU"/>
        </w:rPr>
        <w:t xml:space="preserve">mann, Schulz, and </w:t>
      </w:r>
      <w:proofErr w:type="spellStart"/>
      <w:r>
        <w:rPr>
          <w:rFonts w:ascii="Garamond" w:eastAsia="Times New Roman" w:hAnsi="Garamond" w:cs="Times New Roman"/>
          <w:bCs/>
          <w:sz w:val="24"/>
          <w:szCs w:val="24"/>
          <w:lang w:val="en-US" w:eastAsia="ru-RU"/>
        </w:rPr>
        <w:t>Thiesen</w:t>
      </w:r>
      <w:proofErr w:type="spellEnd"/>
      <w:r>
        <w:rPr>
          <w:rFonts w:ascii="Garamond" w:eastAsia="Times New Roman" w:hAnsi="Garamond" w:cs="Times New Roman"/>
          <w:bCs/>
          <w:sz w:val="24"/>
          <w:szCs w:val="24"/>
          <w:lang w:val="en-US" w:eastAsia="ru-RU"/>
        </w:rPr>
        <w:t xml:space="preserve"> 2019)</w:t>
      </w:r>
      <w:r w:rsidRPr="000932BD">
        <w:rPr>
          <w:rFonts w:ascii="Garamond" w:eastAsia="Times New Roman" w:hAnsi="Garamond" w:cs="Times New Roman"/>
          <w:bCs/>
          <w:sz w:val="24"/>
          <w:szCs w:val="24"/>
          <w:lang w:val="en-US" w:eastAsia="ru-RU"/>
        </w:rPr>
        <w:t>.</w:t>
      </w:r>
    </w:p>
    <w:p w14:paraId="472D3CB3" w14:textId="77777777" w:rsidR="005712AF" w:rsidRPr="00C7450C" w:rsidRDefault="005712AF" w:rsidP="005712AF">
      <w:pPr>
        <w:spacing w:before="240" w:after="60" w:line="360" w:lineRule="auto"/>
        <w:jc w:val="both"/>
        <w:rPr>
          <w:rFonts w:ascii="Garamond" w:eastAsia="Times New Roman" w:hAnsi="Garamond" w:cs="Times New Roman"/>
          <w:b/>
          <w:bCs/>
          <w:sz w:val="24"/>
          <w:szCs w:val="24"/>
          <w:lang w:val="en-US" w:eastAsia="ru-RU"/>
        </w:rPr>
      </w:pPr>
      <w:r w:rsidRPr="00C7450C">
        <w:rPr>
          <w:rFonts w:ascii="Garamond" w:eastAsia="Times New Roman" w:hAnsi="Garamond" w:cs="Times New Roman"/>
          <w:b/>
          <w:bCs/>
          <w:sz w:val="24"/>
          <w:szCs w:val="24"/>
          <w:lang w:val="en-US" w:eastAsia="ru-RU"/>
        </w:rPr>
        <w:t>Table 3.3. Descriptive statistics of independent categorical variables: West Germany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887"/>
        <w:gridCol w:w="2693"/>
      </w:tblGrid>
      <w:tr w:rsidR="005712AF" w:rsidRPr="00B42F5F" w14:paraId="2F3CB965" w14:textId="77777777" w:rsidTr="000C6411">
        <w:trPr>
          <w:trHeight w:val="624"/>
        </w:trPr>
        <w:tc>
          <w:tcPr>
            <w:tcW w:w="2920" w:type="dxa"/>
            <w:shd w:val="clear" w:color="auto" w:fill="auto"/>
            <w:vAlign w:val="center"/>
            <w:hideMark/>
          </w:tcPr>
          <w:p w14:paraId="2D7E853B" w14:textId="77777777" w:rsidR="005712AF" w:rsidRPr="00B42F5F" w:rsidRDefault="005712AF" w:rsidP="000C6411">
            <w:pPr>
              <w:spacing w:after="0" w:line="240" w:lineRule="auto"/>
              <w:jc w:val="center"/>
              <w:rPr>
                <w:rFonts w:ascii="Garamond" w:eastAsia="Times New Roman" w:hAnsi="Garamond" w:cs="Times New Roman"/>
                <w:i/>
                <w:color w:val="000000"/>
                <w:lang w:eastAsia="ru-RU"/>
              </w:rPr>
            </w:pPr>
            <w:r w:rsidRPr="00B42F5F">
              <w:rPr>
                <w:rFonts w:ascii="Garamond" w:eastAsia="Times New Roman" w:hAnsi="Garamond" w:cs="Times New Roman"/>
                <w:i/>
                <w:color w:val="000000"/>
                <w:lang w:eastAsia="ru-RU"/>
              </w:rPr>
              <w:t>Variable</w:t>
            </w:r>
          </w:p>
        </w:tc>
        <w:tc>
          <w:tcPr>
            <w:tcW w:w="2887" w:type="dxa"/>
            <w:shd w:val="clear" w:color="auto" w:fill="auto"/>
            <w:vAlign w:val="center"/>
            <w:hideMark/>
          </w:tcPr>
          <w:p w14:paraId="69C9F8FB" w14:textId="77777777" w:rsidR="005712AF" w:rsidRPr="00B42F5F" w:rsidRDefault="005712AF" w:rsidP="000C6411">
            <w:pPr>
              <w:spacing w:after="0" w:line="240" w:lineRule="auto"/>
              <w:jc w:val="center"/>
              <w:rPr>
                <w:rFonts w:ascii="Garamond" w:eastAsia="Times New Roman" w:hAnsi="Garamond" w:cs="Times New Roman"/>
                <w:i/>
                <w:color w:val="000000"/>
                <w:lang w:eastAsia="ru-RU"/>
              </w:rPr>
            </w:pPr>
            <w:r w:rsidRPr="00B42F5F">
              <w:rPr>
                <w:rFonts w:ascii="Garamond" w:eastAsia="Times New Roman" w:hAnsi="Garamond" w:cs="Times New Roman"/>
                <w:i/>
                <w:color w:val="000000"/>
                <w:lang w:eastAsia="ru-RU"/>
              </w:rPr>
              <w:t>Quantity</w:t>
            </w:r>
          </w:p>
        </w:tc>
        <w:tc>
          <w:tcPr>
            <w:tcW w:w="2693" w:type="dxa"/>
            <w:shd w:val="clear" w:color="auto" w:fill="auto"/>
            <w:vAlign w:val="center"/>
            <w:hideMark/>
          </w:tcPr>
          <w:p w14:paraId="04619924" w14:textId="77777777" w:rsidR="005712AF" w:rsidRPr="00B42F5F" w:rsidRDefault="005712AF" w:rsidP="000C6411">
            <w:pPr>
              <w:spacing w:after="0" w:line="240" w:lineRule="auto"/>
              <w:jc w:val="center"/>
              <w:rPr>
                <w:rFonts w:ascii="Garamond" w:eastAsia="Times New Roman" w:hAnsi="Garamond" w:cs="Times New Roman"/>
                <w:i/>
                <w:color w:val="000000"/>
                <w:lang w:eastAsia="ru-RU"/>
              </w:rPr>
            </w:pPr>
            <w:r w:rsidRPr="00B42F5F">
              <w:rPr>
                <w:rFonts w:ascii="Garamond" w:eastAsia="Times New Roman" w:hAnsi="Garamond" w:cs="Times New Roman"/>
                <w:i/>
                <w:color w:val="000000"/>
                <w:lang w:eastAsia="ru-RU"/>
              </w:rPr>
              <w:t>Share of the whole (%)</w:t>
            </w:r>
          </w:p>
        </w:tc>
      </w:tr>
      <w:tr w:rsidR="005712AF" w:rsidRPr="00B42F5F" w14:paraId="7AB70DED" w14:textId="77777777" w:rsidTr="000C6411">
        <w:trPr>
          <w:trHeight w:val="402"/>
        </w:trPr>
        <w:tc>
          <w:tcPr>
            <w:tcW w:w="2920" w:type="dxa"/>
            <w:shd w:val="clear" w:color="auto" w:fill="auto"/>
            <w:vAlign w:val="center"/>
            <w:hideMark/>
          </w:tcPr>
          <w:p w14:paraId="47A11DD3"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Female</w:t>
            </w:r>
          </w:p>
        </w:tc>
        <w:tc>
          <w:tcPr>
            <w:tcW w:w="2887" w:type="dxa"/>
            <w:shd w:val="clear" w:color="auto" w:fill="auto"/>
            <w:vAlign w:val="center"/>
            <w:hideMark/>
          </w:tcPr>
          <w:p w14:paraId="0B020218"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1164</w:t>
            </w:r>
          </w:p>
        </w:tc>
        <w:tc>
          <w:tcPr>
            <w:tcW w:w="2693" w:type="dxa"/>
            <w:shd w:val="clear" w:color="auto" w:fill="auto"/>
            <w:vAlign w:val="center"/>
            <w:hideMark/>
          </w:tcPr>
          <w:p w14:paraId="67170F69"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48.7</w:t>
            </w:r>
          </w:p>
        </w:tc>
      </w:tr>
      <w:tr w:rsidR="005712AF" w:rsidRPr="00B42F5F" w14:paraId="67578EC9" w14:textId="77777777" w:rsidTr="000C6411">
        <w:trPr>
          <w:trHeight w:val="402"/>
        </w:trPr>
        <w:tc>
          <w:tcPr>
            <w:tcW w:w="2920" w:type="dxa"/>
            <w:shd w:val="clear" w:color="auto" w:fill="auto"/>
            <w:vAlign w:val="center"/>
            <w:hideMark/>
          </w:tcPr>
          <w:p w14:paraId="5B9E34AF"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Age - NSM gen. (60-74)</w:t>
            </w:r>
          </w:p>
        </w:tc>
        <w:tc>
          <w:tcPr>
            <w:tcW w:w="2887" w:type="dxa"/>
            <w:shd w:val="clear" w:color="auto" w:fill="auto"/>
            <w:vAlign w:val="center"/>
            <w:hideMark/>
          </w:tcPr>
          <w:p w14:paraId="5F57F384"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533</w:t>
            </w:r>
          </w:p>
        </w:tc>
        <w:tc>
          <w:tcPr>
            <w:tcW w:w="2693" w:type="dxa"/>
            <w:shd w:val="clear" w:color="auto" w:fill="auto"/>
            <w:vAlign w:val="center"/>
            <w:hideMark/>
          </w:tcPr>
          <w:p w14:paraId="4C25F5E7"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22.3</w:t>
            </w:r>
          </w:p>
        </w:tc>
      </w:tr>
      <w:tr w:rsidR="005712AF" w:rsidRPr="00B42F5F" w14:paraId="764B4990" w14:textId="77777777" w:rsidTr="000C6411">
        <w:trPr>
          <w:trHeight w:val="402"/>
        </w:trPr>
        <w:tc>
          <w:tcPr>
            <w:tcW w:w="2920" w:type="dxa"/>
            <w:shd w:val="clear" w:color="auto" w:fill="auto"/>
            <w:vAlign w:val="center"/>
            <w:hideMark/>
          </w:tcPr>
          <w:p w14:paraId="250D9621"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Age - Upper-middle (45-60)</w:t>
            </w:r>
          </w:p>
        </w:tc>
        <w:tc>
          <w:tcPr>
            <w:tcW w:w="2887" w:type="dxa"/>
            <w:shd w:val="clear" w:color="auto" w:fill="auto"/>
            <w:vAlign w:val="center"/>
            <w:hideMark/>
          </w:tcPr>
          <w:p w14:paraId="1545330D"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701</w:t>
            </w:r>
          </w:p>
        </w:tc>
        <w:tc>
          <w:tcPr>
            <w:tcW w:w="2693" w:type="dxa"/>
            <w:shd w:val="clear" w:color="auto" w:fill="auto"/>
            <w:vAlign w:val="center"/>
            <w:hideMark/>
          </w:tcPr>
          <w:p w14:paraId="1AC44301"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29.4</w:t>
            </w:r>
          </w:p>
        </w:tc>
      </w:tr>
      <w:tr w:rsidR="005712AF" w:rsidRPr="00B42F5F" w14:paraId="2E134EFF" w14:textId="77777777" w:rsidTr="000C6411">
        <w:trPr>
          <w:trHeight w:val="402"/>
        </w:trPr>
        <w:tc>
          <w:tcPr>
            <w:tcW w:w="2920" w:type="dxa"/>
            <w:shd w:val="clear" w:color="auto" w:fill="auto"/>
            <w:vAlign w:val="center"/>
            <w:hideMark/>
          </w:tcPr>
          <w:p w14:paraId="41520F1A"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Age - Young (18-29)</w:t>
            </w:r>
          </w:p>
        </w:tc>
        <w:tc>
          <w:tcPr>
            <w:tcW w:w="2887" w:type="dxa"/>
            <w:shd w:val="clear" w:color="auto" w:fill="auto"/>
            <w:vAlign w:val="center"/>
            <w:hideMark/>
          </w:tcPr>
          <w:p w14:paraId="041A209B"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374</w:t>
            </w:r>
          </w:p>
        </w:tc>
        <w:tc>
          <w:tcPr>
            <w:tcW w:w="2693" w:type="dxa"/>
            <w:shd w:val="clear" w:color="auto" w:fill="auto"/>
            <w:vAlign w:val="center"/>
            <w:hideMark/>
          </w:tcPr>
          <w:p w14:paraId="79618AB6"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15.7</w:t>
            </w:r>
          </w:p>
        </w:tc>
      </w:tr>
      <w:tr w:rsidR="005712AF" w:rsidRPr="00B42F5F" w14:paraId="33556D20" w14:textId="77777777" w:rsidTr="000C6411">
        <w:trPr>
          <w:trHeight w:val="402"/>
        </w:trPr>
        <w:tc>
          <w:tcPr>
            <w:tcW w:w="2920" w:type="dxa"/>
            <w:shd w:val="clear" w:color="auto" w:fill="auto"/>
            <w:vAlign w:val="center"/>
            <w:hideMark/>
          </w:tcPr>
          <w:p w14:paraId="35CA4F40"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Occupation - Professional</w:t>
            </w:r>
          </w:p>
        </w:tc>
        <w:tc>
          <w:tcPr>
            <w:tcW w:w="2887" w:type="dxa"/>
            <w:shd w:val="clear" w:color="auto" w:fill="auto"/>
            <w:vAlign w:val="center"/>
            <w:hideMark/>
          </w:tcPr>
          <w:p w14:paraId="2D4F1016"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359</w:t>
            </w:r>
          </w:p>
        </w:tc>
        <w:tc>
          <w:tcPr>
            <w:tcW w:w="2693" w:type="dxa"/>
            <w:shd w:val="clear" w:color="auto" w:fill="auto"/>
            <w:vAlign w:val="center"/>
            <w:hideMark/>
          </w:tcPr>
          <w:p w14:paraId="4D28DA8F"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15</w:t>
            </w:r>
          </w:p>
        </w:tc>
      </w:tr>
      <w:tr w:rsidR="005712AF" w:rsidRPr="00B42F5F" w14:paraId="1B2ED541" w14:textId="77777777" w:rsidTr="000C6411">
        <w:trPr>
          <w:trHeight w:val="402"/>
        </w:trPr>
        <w:tc>
          <w:tcPr>
            <w:tcW w:w="2920" w:type="dxa"/>
            <w:shd w:val="clear" w:color="auto" w:fill="auto"/>
            <w:vAlign w:val="center"/>
            <w:hideMark/>
          </w:tcPr>
          <w:p w14:paraId="6F4841E8"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Occupation - White-collars</w:t>
            </w:r>
          </w:p>
        </w:tc>
        <w:tc>
          <w:tcPr>
            <w:tcW w:w="2887" w:type="dxa"/>
            <w:shd w:val="clear" w:color="auto" w:fill="auto"/>
            <w:vAlign w:val="center"/>
            <w:hideMark/>
          </w:tcPr>
          <w:p w14:paraId="421566F4"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204</w:t>
            </w:r>
          </w:p>
        </w:tc>
        <w:tc>
          <w:tcPr>
            <w:tcW w:w="2693" w:type="dxa"/>
            <w:shd w:val="clear" w:color="auto" w:fill="auto"/>
            <w:vAlign w:val="center"/>
            <w:hideMark/>
          </w:tcPr>
          <w:p w14:paraId="4A1B7A47"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8.5</w:t>
            </w:r>
          </w:p>
        </w:tc>
      </w:tr>
      <w:tr w:rsidR="005712AF" w:rsidRPr="00B42F5F" w14:paraId="0D7518A2" w14:textId="77777777" w:rsidTr="000C6411">
        <w:trPr>
          <w:trHeight w:val="402"/>
        </w:trPr>
        <w:tc>
          <w:tcPr>
            <w:tcW w:w="2920" w:type="dxa"/>
            <w:shd w:val="clear" w:color="auto" w:fill="auto"/>
            <w:vAlign w:val="center"/>
          </w:tcPr>
          <w:p w14:paraId="6EB7E1D2"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Occupation - Grey collars</w:t>
            </w:r>
          </w:p>
        </w:tc>
        <w:tc>
          <w:tcPr>
            <w:tcW w:w="2887" w:type="dxa"/>
            <w:shd w:val="clear" w:color="auto" w:fill="auto"/>
            <w:vAlign w:val="center"/>
          </w:tcPr>
          <w:p w14:paraId="1F5F32DF"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460</w:t>
            </w:r>
          </w:p>
        </w:tc>
        <w:tc>
          <w:tcPr>
            <w:tcW w:w="2693" w:type="dxa"/>
            <w:shd w:val="clear" w:color="auto" w:fill="auto"/>
            <w:vAlign w:val="center"/>
          </w:tcPr>
          <w:p w14:paraId="222F58F9"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19.3</w:t>
            </w:r>
          </w:p>
        </w:tc>
      </w:tr>
      <w:tr w:rsidR="005712AF" w:rsidRPr="00B42F5F" w14:paraId="76355C24" w14:textId="77777777" w:rsidTr="000C6411">
        <w:trPr>
          <w:trHeight w:val="402"/>
        </w:trPr>
        <w:tc>
          <w:tcPr>
            <w:tcW w:w="2920" w:type="dxa"/>
            <w:shd w:val="clear" w:color="auto" w:fill="auto"/>
            <w:vAlign w:val="center"/>
          </w:tcPr>
          <w:p w14:paraId="603EBFF6"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Occupation - Self-employed</w:t>
            </w:r>
          </w:p>
        </w:tc>
        <w:tc>
          <w:tcPr>
            <w:tcW w:w="2887" w:type="dxa"/>
            <w:shd w:val="clear" w:color="auto" w:fill="auto"/>
            <w:vAlign w:val="center"/>
          </w:tcPr>
          <w:p w14:paraId="62573AA6"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114</w:t>
            </w:r>
          </w:p>
        </w:tc>
        <w:tc>
          <w:tcPr>
            <w:tcW w:w="2693" w:type="dxa"/>
            <w:shd w:val="clear" w:color="auto" w:fill="auto"/>
            <w:vAlign w:val="center"/>
          </w:tcPr>
          <w:p w14:paraId="4771DCED"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4.8</w:t>
            </w:r>
          </w:p>
        </w:tc>
      </w:tr>
      <w:tr w:rsidR="005712AF" w:rsidRPr="00B42F5F" w14:paraId="018AF411" w14:textId="77777777" w:rsidTr="000C6411">
        <w:trPr>
          <w:trHeight w:val="402"/>
        </w:trPr>
        <w:tc>
          <w:tcPr>
            <w:tcW w:w="2920" w:type="dxa"/>
            <w:shd w:val="clear" w:color="auto" w:fill="auto"/>
            <w:vAlign w:val="center"/>
            <w:hideMark/>
          </w:tcPr>
          <w:p w14:paraId="781CCE6E"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Occupation - Students</w:t>
            </w:r>
          </w:p>
        </w:tc>
        <w:tc>
          <w:tcPr>
            <w:tcW w:w="2887" w:type="dxa"/>
            <w:shd w:val="clear" w:color="auto" w:fill="auto"/>
            <w:vAlign w:val="center"/>
            <w:hideMark/>
          </w:tcPr>
          <w:p w14:paraId="04284DD2"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125</w:t>
            </w:r>
          </w:p>
        </w:tc>
        <w:tc>
          <w:tcPr>
            <w:tcW w:w="2693" w:type="dxa"/>
            <w:shd w:val="clear" w:color="auto" w:fill="auto"/>
            <w:noWrap/>
            <w:vAlign w:val="center"/>
            <w:hideMark/>
          </w:tcPr>
          <w:p w14:paraId="193E2E82"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5.2</w:t>
            </w:r>
          </w:p>
        </w:tc>
      </w:tr>
      <w:tr w:rsidR="005712AF" w:rsidRPr="00B42F5F" w14:paraId="65C1B482" w14:textId="77777777" w:rsidTr="000C6411">
        <w:trPr>
          <w:trHeight w:val="402"/>
        </w:trPr>
        <w:tc>
          <w:tcPr>
            <w:tcW w:w="2920" w:type="dxa"/>
            <w:shd w:val="clear" w:color="auto" w:fill="auto"/>
            <w:noWrap/>
            <w:vAlign w:val="center"/>
            <w:hideMark/>
          </w:tcPr>
          <w:p w14:paraId="4AC1E48D"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Higher education</w:t>
            </w:r>
          </w:p>
        </w:tc>
        <w:tc>
          <w:tcPr>
            <w:tcW w:w="2887" w:type="dxa"/>
            <w:shd w:val="clear" w:color="auto" w:fill="auto"/>
            <w:noWrap/>
            <w:vAlign w:val="center"/>
            <w:hideMark/>
          </w:tcPr>
          <w:p w14:paraId="0B69CDCB"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926</w:t>
            </w:r>
          </w:p>
        </w:tc>
        <w:tc>
          <w:tcPr>
            <w:tcW w:w="2693" w:type="dxa"/>
            <w:shd w:val="clear" w:color="auto" w:fill="auto"/>
            <w:noWrap/>
            <w:vAlign w:val="center"/>
            <w:hideMark/>
          </w:tcPr>
          <w:p w14:paraId="75089825"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38.8</w:t>
            </w:r>
          </w:p>
        </w:tc>
      </w:tr>
      <w:tr w:rsidR="005712AF" w:rsidRPr="00B42F5F" w14:paraId="30BECB26" w14:textId="77777777" w:rsidTr="000C6411">
        <w:trPr>
          <w:trHeight w:val="402"/>
        </w:trPr>
        <w:tc>
          <w:tcPr>
            <w:tcW w:w="2920" w:type="dxa"/>
            <w:shd w:val="clear" w:color="auto" w:fill="auto"/>
            <w:noWrap/>
            <w:vAlign w:val="center"/>
            <w:hideMark/>
          </w:tcPr>
          <w:p w14:paraId="5336BCD0"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Union membership</w:t>
            </w:r>
          </w:p>
        </w:tc>
        <w:tc>
          <w:tcPr>
            <w:tcW w:w="2887" w:type="dxa"/>
            <w:shd w:val="clear" w:color="auto" w:fill="auto"/>
            <w:noWrap/>
            <w:vAlign w:val="center"/>
            <w:hideMark/>
          </w:tcPr>
          <w:p w14:paraId="75F64C61"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282</w:t>
            </w:r>
          </w:p>
        </w:tc>
        <w:tc>
          <w:tcPr>
            <w:tcW w:w="2693" w:type="dxa"/>
            <w:shd w:val="clear" w:color="auto" w:fill="auto"/>
            <w:noWrap/>
            <w:vAlign w:val="center"/>
            <w:hideMark/>
          </w:tcPr>
          <w:p w14:paraId="04DD16C2"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11.8</w:t>
            </w:r>
          </w:p>
        </w:tc>
      </w:tr>
    </w:tbl>
    <w:p w14:paraId="22842CE6" w14:textId="77777777" w:rsidR="005712AF" w:rsidRDefault="005712AF" w:rsidP="005712AF">
      <w:pPr>
        <w:spacing w:before="120" w:after="0" w:line="360" w:lineRule="auto"/>
        <w:jc w:val="both"/>
        <w:rPr>
          <w:rFonts w:ascii="Garamond" w:eastAsia="Times New Roman" w:hAnsi="Garamond" w:cs="Times New Roman"/>
          <w:bCs/>
          <w:sz w:val="24"/>
          <w:szCs w:val="24"/>
          <w:lang w:val="en-US" w:eastAsia="ru-RU"/>
        </w:rPr>
      </w:pPr>
      <w:r>
        <w:rPr>
          <w:rFonts w:ascii="Garamond" w:eastAsia="Times New Roman" w:hAnsi="Garamond" w:cs="Times New Roman"/>
          <w:bCs/>
          <w:sz w:val="24"/>
          <w:szCs w:val="24"/>
          <w:lang w:val="en-US" w:eastAsia="ru-RU"/>
        </w:rPr>
        <w:t xml:space="preserve">Source: Author from ALLBUS 2018 </w:t>
      </w:r>
      <w:r w:rsidRPr="00B42F5F">
        <w:rPr>
          <w:rFonts w:ascii="Garamond" w:eastAsia="Times New Roman" w:hAnsi="Garamond" w:cs="Times New Roman"/>
          <w:bCs/>
          <w:sz w:val="24"/>
          <w:szCs w:val="24"/>
          <w:lang w:val="en-US" w:eastAsia="ru-RU"/>
        </w:rPr>
        <w:t xml:space="preserve">(Baumann, Schulz, and </w:t>
      </w:r>
      <w:proofErr w:type="spellStart"/>
      <w:r w:rsidRPr="00B42F5F">
        <w:rPr>
          <w:rFonts w:ascii="Garamond" w:eastAsia="Times New Roman" w:hAnsi="Garamond" w:cs="Times New Roman"/>
          <w:bCs/>
          <w:sz w:val="24"/>
          <w:szCs w:val="24"/>
          <w:lang w:val="en-US" w:eastAsia="ru-RU"/>
        </w:rPr>
        <w:t>Thiesen</w:t>
      </w:r>
      <w:proofErr w:type="spellEnd"/>
      <w:r w:rsidRPr="00B42F5F">
        <w:rPr>
          <w:rFonts w:ascii="Garamond" w:eastAsia="Times New Roman" w:hAnsi="Garamond" w:cs="Times New Roman"/>
          <w:bCs/>
          <w:sz w:val="24"/>
          <w:szCs w:val="24"/>
          <w:lang w:val="en-US" w:eastAsia="ru-RU"/>
        </w:rPr>
        <w:t xml:space="preserve"> 2019).</w:t>
      </w:r>
    </w:p>
    <w:p w14:paraId="01B7C2D6" w14:textId="77777777" w:rsidR="005712AF" w:rsidRPr="00B42F5F" w:rsidRDefault="005712AF" w:rsidP="005712AF">
      <w:pPr>
        <w:spacing w:before="240" w:after="120" w:line="360" w:lineRule="auto"/>
        <w:jc w:val="both"/>
        <w:rPr>
          <w:rFonts w:ascii="Garamond" w:eastAsia="Times New Roman" w:hAnsi="Garamond" w:cs="Times New Roman"/>
          <w:b/>
          <w:bCs/>
          <w:sz w:val="24"/>
          <w:szCs w:val="24"/>
          <w:lang w:val="en-US" w:eastAsia="ru-RU"/>
        </w:rPr>
      </w:pPr>
      <w:r w:rsidRPr="00B42F5F">
        <w:rPr>
          <w:rFonts w:ascii="Garamond" w:eastAsia="Times New Roman" w:hAnsi="Garamond" w:cs="Times New Roman"/>
          <w:b/>
          <w:bCs/>
          <w:sz w:val="24"/>
          <w:szCs w:val="24"/>
          <w:lang w:val="en-US" w:eastAsia="ru-RU"/>
        </w:rPr>
        <w:t>Table 3.4. Descriptive statistics of independent interval variables: West Germany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648"/>
        <w:gridCol w:w="992"/>
        <w:gridCol w:w="992"/>
        <w:gridCol w:w="1134"/>
        <w:gridCol w:w="1134"/>
      </w:tblGrid>
      <w:tr w:rsidR="005712AF" w:rsidRPr="00B42F5F" w14:paraId="70DD9049" w14:textId="77777777" w:rsidTr="000C6411">
        <w:trPr>
          <w:trHeight w:val="630"/>
        </w:trPr>
        <w:tc>
          <w:tcPr>
            <w:tcW w:w="2600" w:type="dxa"/>
            <w:shd w:val="clear" w:color="auto" w:fill="auto"/>
            <w:vAlign w:val="center"/>
            <w:hideMark/>
          </w:tcPr>
          <w:p w14:paraId="01BA3854" w14:textId="77777777" w:rsidR="005712AF" w:rsidRPr="00B42F5F" w:rsidRDefault="005712AF" w:rsidP="000C6411">
            <w:pPr>
              <w:spacing w:after="0" w:line="240" w:lineRule="auto"/>
              <w:jc w:val="center"/>
              <w:rPr>
                <w:rFonts w:ascii="Garamond" w:eastAsia="Times New Roman" w:hAnsi="Garamond" w:cs="Times New Roman"/>
                <w:i/>
                <w:color w:val="000000"/>
                <w:lang w:eastAsia="ru-RU"/>
              </w:rPr>
            </w:pPr>
            <w:r w:rsidRPr="00B42F5F">
              <w:rPr>
                <w:rFonts w:ascii="Garamond" w:eastAsia="Times New Roman" w:hAnsi="Garamond" w:cs="Times New Roman"/>
                <w:i/>
                <w:color w:val="000000"/>
                <w:lang w:eastAsia="ru-RU"/>
              </w:rPr>
              <w:t>Variable</w:t>
            </w:r>
          </w:p>
        </w:tc>
        <w:tc>
          <w:tcPr>
            <w:tcW w:w="1648" w:type="dxa"/>
            <w:shd w:val="clear" w:color="auto" w:fill="auto"/>
            <w:vAlign w:val="center"/>
            <w:hideMark/>
          </w:tcPr>
          <w:p w14:paraId="600FA4EA" w14:textId="77777777" w:rsidR="005712AF" w:rsidRPr="00B42F5F" w:rsidRDefault="005712AF" w:rsidP="000C6411">
            <w:pPr>
              <w:spacing w:after="0" w:line="240" w:lineRule="auto"/>
              <w:jc w:val="center"/>
              <w:rPr>
                <w:rFonts w:ascii="Garamond" w:eastAsia="Times New Roman" w:hAnsi="Garamond" w:cs="Times New Roman"/>
                <w:i/>
                <w:color w:val="000000"/>
                <w:lang w:eastAsia="ru-RU"/>
              </w:rPr>
            </w:pPr>
            <w:r w:rsidRPr="00B42F5F">
              <w:rPr>
                <w:rFonts w:ascii="Garamond" w:eastAsia="Times New Roman" w:hAnsi="Garamond" w:cs="Times New Roman"/>
                <w:i/>
                <w:color w:val="000000"/>
                <w:lang w:eastAsia="ru-RU"/>
              </w:rPr>
              <w:t>Mean</w:t>
            </w:r>
          </w:p>
        </w:tc>
        <w:tc>
          <w:tcPr>
            <w:tcW w:w="992" w:type="dxa"/>
            <w:shd w:val="clear" w:color="auto" w:fill="auto"/>
            <w:vAlign w:val="center"/>
            <w:hideMark/>
          </w:tcPr>
          <w:p w14:paraId="533690E6" w14:textId="77777777" w:rsidR="005712AF" w:rsidRPr="00B42F5F" w:rsidRDefault="005712AF" w:rsidP="000C6411">
            <w:pPr>
              <w:spacing w:after="0" w:line="240" w:lineRule="auto"/>
              <w:jc w:val="center"/>
              <w:rPr>
                <w:rFonts w:ascii="Garamond" w:eastAsia="Times New Roman" w:hAnsi="Garamond" w:cs="Times New Roman"/>
                <w:i/>
                <w:color w:val="000000"/>
                <w:lang w:eastAsia="ru-RU"/>
              </w:rPr>
            </w:pPr>
            <w:r w:rsidRPr="00B42F5F">
              <w:rPr>
                <w:rFonts w:ascii="Garamond" w:eastAsia="Times New Roman" w:hAnsi="Garamond" w:cs="Times New Roman"/>
                <w:i/>
                <w:color w:val="000000"/>
                <w:lang w:eastAsia="ru-RU"/>
              </w:rPr>
              <w:t>Median</w:t>
            </w:r>
          </w:p>
        </w:tc>
        <w:tc>
          <w:tcPr>
            <w:tcW w:w="992" w:type="dxa"/>
            <w:shd w:val="clear" w:color="auto" w:fill="auto"/>
            <w:vAlign w:val="center"/>
            <w:hideMark/>
          </w:tcPr>
          <w:p w14:paraId="6F61AF54" w14:textId="77777777" w:rsidR="005712AF" w:rsidRPr="00B42F5F" w:rsidRDefault="005712AF" w:rsidP="000C6411">
            <w:pPr>
              <w:spacing w:after="0" w:line="240" w:lineRule="auto"/>
              <w:jc w:val="center"/>
              <w:rPr>
                <w:rFonts w:ascii="Garamond" w:eastAsia="Times New Roman" w:hAnsi="Garamond" w:cs="Times New Roman"/>
                <w:i/>
                <w:color w:val="000000"/>
                <w:lang w:eastAsia="ru-RU"/>
              </w:rPr>
            </w:pPr>
            <w:r w:rsidRPr="00B42F5F">
              <w:rPr>
                <w:rFonts w:ascii="Garamond" w:eastAsia="Times New Roman" w:hAnsi="Garamond" w:cs="Times New Roman"/>
                <w:i/>
                <w:color w:val="000000"/>
                <w:lang w:eastAsia="ru-RU"/>
              </w:rPr>
              <w:t>Min.</w:t>
            </w:r>
          </w:p>
        </w:tc>
        <w:tc>
          <w:tcPr>
            <w:tcW w:w="1134" w:type="dxa"/>
            <w:shd w:val="clear" w:color="auto" w:fill="auto"/>
            <w:vAlign w:val="center"/>
            <w:hideMark/>
          </w:tcPr>
          <w:p w14:paraId="11901950" w14:textId="77777777" w:rsidR="005712AF" w:rsidRPr="00B42F5F" w:rsidRDefault="005712AF" w:rsidP="000C6411">
            <w:pPr>
              <w:spacing w:after="0" w:line="240" w:lineRule="auto"/>
              <w:jc w:val="center"/>
              <w:rPr>
                <w:rFonts w:ascii="Garamond" w:eastAsia="Times New Roman" w:hAnsi="Garamond" w:cs="Times New Roman"/>
                <w:i/>
                <w:color w:val="000000"/>
                <w:lang w:eastAsia="ru-RU"/>
              </w:rPr>
            </w:pPr>
            <w:r w:rsidRPr="00B42F5F">
              <w:rPr>
                <w:rFonts w:ascii="Garamond" w:eastAsia="Times New Roman" w:hAnsi="Garamond" w:cs="Times New Roman"/>
                <w:i/>
                <w:color w:val="000000"/>
                <w:lang w:eastAsia="ru-RU"/>
              </w:rPr>
              <w:t>Max.</w:t>
            </w:r>
          </w:p>
        </w:tc>
        <w:tc>
          <w:tcPr>
            <w:tcW w:w="1134" w:type="dxa"/>
            <w:shd w:val="clear" w:color="auto" w:fill="auto"/>
            <w:vAlign w:val="center"/>
            <w:hideMark/>
          </w:tcPr>
          <w:p w14:paraId="6027C5D6" w14:textId="77777777" w:rsidR="005712AF" w:rsidRPr="00B42F5F" w:rsidRDefault="005712AF" w:rsidP="000C6411">
            <w:pPr>
              <w:spacing w:after="0" w:line="240" w:lineRule="auto"/>
              <w:jc w:val="center"/>
              <w:rPr>
                <w:rFonts w:ascii="Garamond" w:eastAsia="Times New Roman" w:hAnsi="Garamond" w:cs="Times New Roman"/>
                <w:i/>
                <w:color w:val="000000"/>
                <w:lang w:eastAsia="ru-RU"/>
              </w:rPr>
            </w:pPr>
            <w:r w:rsidRPr="00B42F5F">
              <w:rPr>
                <w:rFonts w:ascii="Garamond" w:eastAsia="Times New Roman" w:hAnsi="Garamond" w:cs="Times New Roman"/>
                <w:i/>
                <w:color w:val="000000"/>
                <w:lang w:eastAsia="ru-RU"/>
              </w:rPr>
              <w:t>Std. deviation</w:t>
            </w:r>
          </w:p>
        </w:tc>
      </w:tr>
      <w:tr w:rsidR="005712AF" w:rsidRPr="00B42F5F" w14:paraId="0932018E" w14:textId="77777777" w:rsidTr="000C6411">
        <w:trPr>
          <w:trHeight w:val="630"/>
        </w:trPr>
        <w:tc>
          <w:tcPr>
            <w:tcW w:w="2600" w:type="dxa"/>
            <w:shd w:val="clear" w:color="auto" w:fill="auto"/>
            <w:vAlign w:val="center"/>
            <w:hideMark/>
          </w:tcPr>
          <w:p w14:paraId="7EF52FC9"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Political ideology</w:t>
            </w:r>
          </w:p>
        </w:tc>
        <w:tc>
          <w:tcPr>
            <w:tcW w:w="1648" w:type="dxa"/>
            <w:shd w:val="clear" w:color="auto" w:fill="auto"/>
            <w:noWrap/>
            <w:vAlign w:val="center"/>
            <w:hideMark/>
          </w:tcPr>
          <w:p w14:paraId="1F37282F"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4.99</w:t>
            </w:r>
          </w:p>
        </w:tc>
        <w:tc>
          <w:tcPr>
            <w:tcW w:w="992" w:type="dxa"/>
            <w:shd w:val="clear" w:color="auto" w:fill="auto"/>
            <w:vAlign w:val="center"/>
            <w:hideMark/>
          </w:tcPr>
          <w:p w14:paraId="220D57C9"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5</w:t>
            </w:r>
          </w:p>
        </w:tc>
        <w:tc>
          <w:tcPr>
            <w:tcW w:w="992" w:type="dxa"/>
            <w:shd w:val="clear" w:color="auto" w:fill="auto"/>
            <w:vAlign w:val="center"/>
            <w:hideMark/>
          </w:tcPr>
          <w:p w14:paraId="74ED8326"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w:t>
            </w:r>
          </w:p>
        </w:tc>
        <w:tc>
          <w:tcPr>
            <w:tcW w:w="1134" w:type="dxa"/>
            <w:shd w:val="clear" w:color="auto" w:fill="auto"/>
            <w:vAlign w:val="center"/>
            <w:hideMark/>
          </w:tcPr>
          <w:p w14:paraId="56CD2D6F"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10</w:t>
            </w:r>
          </w:p>
        </w:tc>
        <w:tc>
          <w:tcPr>
            <w:tcW w:w="1134" w:type="dxa"/>
            <w:shd w:val="clear" w:color="auto" w:fill="auto"/>
            <w:noWrap/>
            <w:vAlign w:val="center"/>
            <w:hideMark/>
          </w:tcPr>
          <w:p w14:paraId="1854D311"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1.66</w:t>
            </w:r>
          </w:p>
        </w:tc>
      </w:tr>
      <w:tr w:rsidR="005712AF" w:rsidRPr="00B42F5F" w14:paraId="56B12180" w14:textId="77777777" w:rsidTr="000C6411">
        <w:trPr>
          <w:trHeight w:val="630"/>
        </w:trPr>
        <w:tc>
          <w:tcPr>
            <w:tcW w:w="2600" w:type="dxa"/>
            <w:shd w:val="clear" w:color="auto" w:fill="auto"/>
            <w:vAlign w:val="center"/>
            <w:hideMark/>
          </w:tcPr>
          <w:p w14:paraId="5E7257E9"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Post-material values absorbance</w:t>
            </w:r>
          </w:p>
        </w:tc>
        <w:tc>
          <w:tcPr>
            <w:tcW w:w="1648" w:type="dxa"/>
            <w:shd w:val="clear" w:color="auto" w:fill="auto"/>
            <w:noWrap/>
            <w:vAlign w:val="center"/>
            <w:hideMark/>
          </w:tcPr>
          <w:p w14:paraId="63A36FBE"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2.27</w:t>
            </w:r>
          </w:p>
        </w:tc>
        <w:tc>
          <w:tcPr>
            <w:tcW w:w="992" w:type="dxa"/>
            <w:shd w:val="clear" w:color="auto" w:fill="auto"/>
            <w:vAlign w:val="center"/>
            <w:hideMark/>
          </w:tcPr>
          <w:p w14:paraId="1002ADA9"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w:t>
            </w:r>
          </w:p>
        </w:tc>
        <w:tc>
          <w:tcPr>
            <w:tcW w:w="992" w:type="dxa"/>
            <w:shd w:val="clear" w:color="auto" w:fill="auto"/>
            <w:vAlign w:val="center"/>
            <w:hideMark/>
          </w:tcPr>
          <w:p w14:paraId="51CCD382"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w:t>
            </w:r>
          </w:p>
        </w:tc>
        <w:tc>
          <w:tcPr>
            <w:tcW w:w="1134" w:type="dxa"/>
            <w:shd w:val="clear" w:color="auto" w:fill="auto"/>
            <w:vAlign w:val="center"/>
            <w:hideMark/>
          </w:tcPr>
          <w:p w14:paraId="39DAF506"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4</w:t>
            </w:r>
          </w:p>
        </w:tc>
        <w:tc>
          <w:tcPr>
            <w:tcW w:w="1134" w:type="dxa"/>
            <w:shd w:val="clear" w:color="auto" w:fill="auto"/>
            <w:vAlign w:val="center"/>
            <w:hideMark/>
          </w:tcPr>
          <w:p w14:paraId="1FF6B602"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0.93</w:t>
            </w:r>
          </w:p>
        </w:tc>
      </w:tr>
      <w:tr w:rsidR="005712AF" w:rsidRPr="00B42F5F" w14:paraId="737B6C49" w14:textId="77777777" w:rsidTr="000C6411">
        <w:trPr>
          <w:trHeight w:val="630"/>
        </w:trPr>
        <w:tc>
          <w:tcPr>
            <w:tcW w:w="2600" w:type="dxa"/>
            <w:shd w:val="clear" w:color="auto" w:fill="auto"/>
            <w:vAlign w:val="center"/>
            <w:hideMark/>
          </w:tcPr>
          <w:p w14:paraId="645EFCDF"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Optimism towards immigrants' influx</w:t>
            </w:r>
          </w:p>
        </w:tc>
        <w:tc>
          <w:tcPr>
            <w:tcW w:w="1648" w:type="dxa"/>
            <w:shd w:val="clear" w:color="auto" w:fill="auto"/>
            <w:noWrap/>
            <w:vAlign w:val="center"/>
            <w:hideMark/>
          </w:tcPr>
          <w:p w14:paraId="2B17DAE5"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10.01</w:t>
            </w:r>
          </w:p>
        </w:tc>
        <w:tc>
          <w:tcPr>
            <w:tcW w:w="992" w:type="dxa"/>
            <w:shd w:val="clear" w:color="auto" w:fill="auto"/>
            <w:vAlign w:val="center"/>
            <w:hideMark/>
          </w:tcPr>
          <w:p w14:paraId="4D353B89"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10</w:t>
            </w:r>
          </w:p>
        </w:tc>
        <w:tc>
          <w:tcPr>
            <w:tcW w:w="992" w:type="dxa"/>
            <w:shd w:val="clear" w:color="auto" w:fill="auto"/>
            <w:vAlign w:val="center"/>
            <w:hideMark/>
          </w:tcPr>
          <w:p w14:paraId="0E39E764"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4</w:t>
            </w:r>
          </w:p>
        </w:tc>
        <w:tc>
          <w:tcPr>
            <w:tcW w:w="1134" w:type="dxa"/>
            <w:shd w:val="clear" w:color="auto" w:fill="auto"/>
            <w:vAlign w:val="center"/>
            <w:hideMark/>
          </w:tcPr>
          <w:p w14:paraId="5E6E9B07"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20</w:t>
            </w:r>
          </w:p>
        </w:tc>
        <w:tc>
          <w:tcPr>
            <w:tcW w:w="1134" w:type="dxa"/>
            <w:shd w:val="clear" w:color="auto" w:fill="auto"/>
            <w:noWrap/>
            <w:vAlign w:val="center"/>
            <w:hideMark/>
          </w:tcPr>
          <w:p w14:paraId="543E421E"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3.22</w:t>
            </w:r>
          </w:p>
        </w:tc>
      </w:tr>
      <w:tr w:rsidR="005712AF" w:rsidRPr="00B42F5F" w14:paraId="495DE398" w14:textId="77777777" w:rsidTr="000C6411">
        <w:trPr>
          <w:trHeight w:val="630"/>
        </w:trPr>
        <w:tc>
          <w:tcPr>
            <w:tcW w:w="2600" w:type="dxa"/>
            <w:shd w:val="clear" w:color="auto" w:fill="auto"/>
            <w:vAlign w:val="center"/>
            <w:hideMark/>
          </w:tcPr>
          <w:p w14:paraId="60F6223B"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Euro-optimism</w:t>
            </w:r>
          </w:p>
        </w:tc>
        <w:tc>
          <w:tcPr>
            <w:tcW w:w="1648" w:type="dxa"/>
            <w:shd w:val="clear" w:color="auto" w:fill="auto"/>
            <w:noWrap/>
            <w:vAlign w:val="center"/>
            <w:hideMark/>
          </w:tcPr>
          <w:p w14:paraId="5D8C190F"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7.38</w:t>
            </w:r>
          </w:p>
        </w:tc>
        <w:tc>
          <w:tcPr>
            <w:tcW w:w="992" w:type="dxa"/>
            <w:shd w:val="clear" w:color="auto" w:fill="auto"/>
            <w:vAlign w:val="center"/>
            <w:hideMark/>
          </w:tcPr>
          <w:p w14:paraId="62AA364E"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8</w:t>
            </w:r>
          </w:p>
        </w:tc>
        <w:tc>
          <w:tcPr>
            <w:tcW w:w="992" w:type="dxa"/>
            <w:shd w:val="clear" w:color="auto" w:fill="auto"/>
            <w:vAlign w:val="center"/>
            <w:hideMark/>
          </w:tcPr>
          <w:p w14:paraId="36F230B8"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w:t>
            </w:r>
          </w:p>
        </w:tc>
        <w:tc>
          <w:tcPr>
            <w:tcW w:w="1134" w:type="dxa"/>
            <w:shd w:val="clear" w:color="auto" w:fill="auto"/>
            <w:vAlign w:val="center"/>
            <w:hideMark/>
          </w:tcPr>
          <w:p w14:paraId="0443C948"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14</w:t>
            </w:r>
          </w:p>
        </w:tc>
        <w:tc>
          <w:tcPr>
            <w:tcW w:w="1134" w:type="dxa"/>
            <w:shd w:val="clear" w:color="auto" w:fill="auto"/>
            <w:noWrap/>
            <w:vAlign w:val="center"/>
            <w:hideMark/>
          </w:tcPr>
          <w:p w14:paraId="378D78BE"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2.75</w:t>
            </w:r>
          </w:p>
        </w:tc>
      </w:tr>
      <w:tr w:rsidR="005712AF" w:rsidRPr="00B42F5F" w14:paraId="3CAE1EFF" w14:textId="77777777" w:rsidTr="000C6411">
        <w:trPr>
          <w:trHeight w:val="630"/>
        </w:trPr>
        <w:tc>
          <w:tcPr>
            <w:tcW w:w="2600" w:type="dxa"/>
            <w:shd w:val="clear" w:color="auto" w:fill="auto"/>
            <w:vAlign w:val="center"/>
            <w:hideMark/>
          </w:tcPr>
          <w:p w14:paraId="31F11E81"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Trust to federal governemnt</w:t>
            </w:r>
          </w:p>
        </w:tc>
        <w:tc>
          <w:tcPr>
            <w:tcW w:w="1648" w:type="dxa"/>
            <w:shd w:val="clear" w:color="auto" w:fill="auto"/>
            <w:noWrap/>
            <w:vAlign w:val="center"/>
            <w:hideMark/>
          </w:tcPr>
          <w:p w14:paraId="0A2BFE01"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4.07</w:t>
            </w:r>
          </w:p>
        </w:tc>
        <w:tc>
          <w:tcPr>
            <w:tcW w:w="992" w:type="dxa"/>
            <w:shd w:val="clear" w:color="auto" w:fill="auto"/>
            <w:vAlign w:val="center"/>
            <w:hideMark/>
          </w:tcPr>
          <w:p w14:paraId="54BC163F"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4</w:t>
            </w:r>
          </w:p>
        </w:tc>
        <w:tc>
          <w:tcPr>
            <w:tcW w:w="992" w:type="dxa"/>
            <w:shd w:val="clear" w:color="auto" w:fill="auto"/>
            <w:vAlign w:val="center"/>
            <w:hideMark/>
          </w:tcPr>
          <w:p w14:paraId="4EAE5D55"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w:t>
            </w:r>
          </w:p>
        </w:tc>
        <w:tc>
          <w:tcPr>
            <w:tcW w:w="1134" w:type="dxa"/>
            <w:shd w:val="clear" w:color="auto" w:fill="auto"/>
            <w:vAlign w:val="center"/>
            <w:hideMark/>
          </w:tcPr>
          <w:p w14:paraId="123F55AE"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7</w:t>
            </w:r>
          </w:p>
        </w:tc>
        <w:tc>
          <w:tcPr>
            <w:tcW w:w="1134" w:type="dxa"/>
            <w:shd w:val="clear" w:color="auto" w:fill="auto"/>
            <w:noWrap/>
            <w:vAlign w:val="center"/>
            <w:hideMark/>
          </w:tcPr>
          <w:p w14:paraId="22C6B8D9"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1.45</w:t>
            </w:r>
          </w:p>
        </w:tc>
      </w:tr>
      <w:tr w:rsidR="005712AF" w:rsidRPr="00B42F5F" w14:paraId="5861212F" w14:textId="77777777" w:rsidTr="000C6411">
        <w:trPr>
          <w:trHeight w:val="630"/>
        </w:trPr>
        <w:tc>
          <w:tcPr>
            <w:tcW w:w="2600" w:type="dxa"/>
            <w:shd w:val="clear" w:color="auto" w:fill="auto"/>
            <w:vAlign w:val="center"/>
            <w:hideMark/>
          </w:tcPr>
          <w:p w14:paraId="7EE7DF05" w14:textId="77777777" w:rsidR="005712AF" w:rsidRPr="00B42F5F" w:rsidRDefault="005712AF" w:rsidP="000C6411">
            <w:pPr>
              <w:spacing w:after="0" w:line="240" w:lineRule="auto"/>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Current economic situation. FRG</w:t>
            </w:r>
          </w:p>
        </w:tc>
        <w:tc>
          <w:tcPr>
            <w:tcW w:w="1648" w:type="dxa"/>
            <w:shd w:val="clear" w:color="auto" w:fill="auto"/>
            <w:noWrap/>
            <w:vAlign w:val="center"/>
            <w:hideMark/>
          </w:tcPr>
          <w:p w14:paraId="2063C079"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2.15</w:t>
            </w:r>
          </w:p>
        </w:tc>
        <w:tc>
          <w:tcPr>
            <w:tcW w:w="992" w:type="dxa"/>
            <w:shd w:val="clear" w:color="auto" w:fill="auto"/>
            <w:vAlign w:val="center"/>
            <w:hideMark/>
          </w:tcPr>
          <w:p w14:paraId="2DDBACF6"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w:t>
            </w:r>
          </w:p>
        </w:tc>
        <w:tc>
          <w:tcPr>
            <w:tcW w:w="992" w:type="dxa"/>
            <w:shd w:val="clear" w:color="auto" w:fill="auto"/>
            <w:vAlign w:val="center"/>
            <w:hideMark/>
          </w:tcPr>
          <w:p w14:paraId="5F872C63"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w:t>
            </w:r>
          </w:p>
        </w:tc>
        <w:tc>
          <w:tcPr>
            <w:tcW w:w="1134" w:type="dxa"/>
            <w:shd w:val="clear" w:color="auto" w:fill="auto"/>
            <w:vAlign w:val="center"/>
            <w:hideMark/>
          </w:tcPr>
          <w:p w14:paraId="5FBEB5B1"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5</w:t>
            </w:r>
          </w:p>
        </w:tc>
        <w:tc>
          <w:tcPr>
            <w:tcW w:w="1134" w:type="dxa"/>
            <w:shd w:val="clear" w:color="auto" w:fill="auto"/>
            <w:noWrap/>
            <w:vAlign w:val="center"/>
            <w:hideMark/>
          </w:tcPr>
          <w:p w14:paraId="324D3E70"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0.78</w:t>
            </w:r>
          </w:p>
        </w:tc>
      </w:tr>
      <w:tr w:rsidR="005712AF" w:rsidRPr="00B42F5F" w14:paraId="2A3060E9" w14:textId="77777777" w:rsidTr="000C6411">
        <w:trPr>
          <w:trHeight w:val="630"/>
        </w:trPr>
        <w:tc>
          <w:tcPr>
            <w:tcW w:w="2600" w:type="dxa"/>
            <w:shd w:val="clear" w:color="auto" w:fill="auto"/>
            <w:vAlign w:val="center"/>
            <w:hideMark/>
          </w:tcPr>
          <w:p w14:paraId="2142E164" w14:textId="77777777" w:rsidR="005712AF" w:rsidRPr="00B42F5F" w:rsidRDefault="005712AF" w:rsidP="000C6411">
            <w:pPr>
              <w:spacing w:after="0" w:line="240" w:lineRule="auto"/>
              <w:rPr>
                <w:rFonts w:ascii="Garamond" w:eastAsia="Times New Roman" w:hAnsi="Garamond" w:cs="Times New Roman"/>
                <w:color w:val="000000"/>
                <w:lang w:val="en-US" w:eastAsia="ru-RU"/>
              </w:rPr>
            </w:pPr>
            <w:r w:rsidRPr="00B42F5F">
              <w:rPr>
                <w:rFonts w:ascii="Garamond" w:eastAsia="Times New Roman" w:hAnsi="Garamond" w:cs="Times New Roman"/>
                <w:color w:val="000000"/>
                <w:lang w:val="en-US" w:eastAsia="ru-RU"/>
              </w:rPr>
              <w:t>Social protection - primary state aim</w:t>
            </w:r>
          </w:p>
        </w:tc>
        <w:tc>
          <w:tcPr>
            <w:tcW w:w="1648" w:type="dxa"/>
            <w:shd w:val="clear" w:color="auto" w:fill="auto"/>
            <w:noWrap/>
            <w:vAlign w:val="center"/>
            <w:hideMark/>
          </w:tcPr>
          <w:p w14:paraId="1DCD8096"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1.9</w:t>
            </w:r>
          </w:p>
        </w:tc>
        <w:tc>
          <w:tcPr>
            <w:tcW w:w="992" w:type="dxa"/>
            <w:shd w:val="clear" w:color="auto" w:fill="auto"/>
            <w:vAlign w:val="center"/>
            <w:hideMark/>
          </w:tcPr>
          <w:p w14:paraId="6FCACA5D"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2</w:t>
            </w:r>
          </w:p>
        </w:tc>
        <w:tc>
          <w:tcPr>
            <w:tcW w:w="992" w:type="dxa"/>
            <w:shd w:val="clear" w:color="auto" w:fill="auto"/>
            <w:vAlign w:val="center"/>
            <w:hideMark/>
          </w:tcPr>
          <w:p w14:paraId="51C243C0"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1</w:t>
            </w:r>
          </w:p>
        </w:tc>
        <w:tc>
          <w:tcPr>
            <w:tcW w:w="1134" w:type="dxa"/>
            <w:shd w:val="clear" w:color="auto" w:fill="auto"/>
            <w:vAlign w:val="center"/>
            <w:hideMark/>
          </w:tcPr>
          <w:p w14:paraId="24AE013B"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5</w:t>
            </w:r>
          </w:p>
        </w:tc>
        <w:tc>
          <w:tcPr>
            <w:tcW w:w="1134" w:type="dxa"/>
            <w:shd w:val="clear" w:color="auto" w:fill="auto"/>
            <w:noWrap/>
            <w:vAlign w:val="center"/>
            <w:hideMark/>
          </w:tcPr>
          <w:p w14:paraId="4271FE2A" w14:textId="77777777" w:rsidR="005712AF" w:rsidRPr="00B42F5F" w:rsidRDefault="005712AF" w:rsidP="000C6411">
            <w:pPr>
              <w:spacing w:after="0" w:line="240" w:lineRule="auto"/>
              <w:jc w:val="center"/>
              <w:rPr>
                <w:rFonts w:ascii="Garamond" w:eastAsia="Times New Roman" w:hAnsi="Garamond" w:cs="Times New Roman"/>
                <w:color w:val="000000"/>
                <w:lang w:eastAsia="ru-RU"/>
              </w:rPr>
            </w:pPr>
            <w:r w:rsidRPr="00B42F5F">
              <w:rPr>
                <w:rFonts w:ascii="Garamond" w:eastAsia="Times New Roman" w:hAnsi="Garamond" w:cs="Times New Roman"/>
                <w:color w:val="000000"/>
                <w:lang w:eastAsia="ru-RU"/>
              </w:rPr>
              <w:t>0.95</w:t>
            </w:r>
          </w:p>
        </w:tc>
      </w:tr>
    </w:tbl>
    <w:p w14:paraId="1D028158" w14:textId="77777777" w:rsidR="005712AF" w:rsidRDefault="005712AF" w:rsidP="005712AF">
      <w:pPr>
        <w:spacing w:before="120" w:after="0" w:line="360" w:lineRule="auto"/>
        <w:jc w:val="both"/>
        <w:rPr>
          <w:rFonts w:ascii="Garamond" w:eastAsia="Times New Roman" w:hAnsi="Garamond" w:cs="Times New Roman"/>
          <w:bCs/>
          <w:sz w:val="24"/>
          <w:szCs w:val="24"/>
          <w:lang w:val="en-US" w:eastAsia="ru-RU"/>
        </w:rPr>
      </w:pPr>
      <w:r w:rsidRPr="000932BD">
        <w:rPr>
          <w:rFonts w:ascii="Garamond" w:eastAsia="Times New Roman" w:hAnsi="Garamond" w:cs="Times New Roman"/>
          <w:bCs/>
          <w:sz w:val="24"/>
          <w:szCs w:val="24"/>
          <w:lang w:val="en-US" w:eastAsia="ru-RU"/>
        </w:rPr>
        <w:t>Source: Author from AL</w:t>
      </w:r>
      <w:r>
        <w:rPr>
          <w:rFonts w:ascii="Garamond" w:eastAsia="Times New Roman" w:hAnsi="Garamond" w:cs="Times New Roman"/>
          <w:bCs/>
          <w:sz w:val="24"/>
          <w:szCs w:val="24"/>
          <w:lang w:val="en-US" w:eastAsia="ru-RU"/>
        </w:rPr>
        <w:t xml:space="preserve">LBUS 2018 </w:t>
      </w:r>
      <w:r w:rsidRPr="00B42F5F">
        <w:rPr>
          <w:rFonts w:ascii="Garamond" w:eastAsia="Times New Roman" w:hAnsi="Garamond" w:cs="Times New Roman"/>
          <w:bCs/>
          <w:sz w:val="24"/>
          <w:szCs w:val="24"/>
          <w:lang w:val="en-US" w:eastAsia="ru-RU"/>
        </w:rPr>
        <w:t>(Bau</w:t>
      </w:r>
      <w:r>
        <w:rPr>
          <w:rFonts w:ascii="Garamond" w:eastAsia="Times New Roman" w:hAnsi="Garamond" w:cs="Times New Roman"/>
          <w:bCs/>
          <w:sz w:val="24"/>
          <w:szCs w:val="24"/>
          <w:lang w:val="en-US" w:eastAsia="ru-RU"/>
        </w:rPr>
        <w:t xml:space="preserve">mann, Schulz, and </w:t>
      </w:r>
      <w:proofErr w:type="spellStart"/>
      <w:r>
        <w:rPr>
          <w:rFonts w:ascii="Garamond" w:eastAsia="Times New Roman" w:hAnsi="Garamond" w:cs="Times New Roman"/>
          <w:bCs/>
          <w:sz w:val="24"/>
          <w:szCs w:val="24"/>
          <w:lang w:val="en-US" w:eastAsia="ru-RU"/>
        </w:rPr>
        <w:t>Thiesen</w:t>
      </w:r>
      <w:proofErr w:type="spellEnd"/>
      <w:r>
        <w:rPr>
          <w:rFonts w:ascii="Garamond" w:eastAsia="Times New Roman" w:hAnsi="Garamond" w:cs="Times New Roman"/>
          <w:bCs/>
          <w:sz w:val="24"/>
          <w:szCs w:val="24"/>
          <w:lang w:val="en-US" w:eastAsia="ru-RU"/>
        </w:rPr>
        <w:t xml:space="preserve"> 2019).</w:t>
      </w:r>
    </w:p>
    <w:p w14:paraId="0428D760" w14:textId="77777777" w:rsidR="005712AF" w:rsidRDefault="005712AF" w:rsidP="005712AF">
      <w:pPr>
        <w:spacing w:after="0" w:line="360" w:lineRule="auto"/>
        <w:rPr>
          <w:rFonts w:ascii="Garamond" w:hAnsi="Garamond" w:cs="Times New Roman"/>
          <w:b/>
          <w:sz w:val="24"/>
          <w:szCs w:val="24"/>
          <w:lang w:val="en-US"/>
        </w:rPr>
      </w:pPr>
    </w:p>
    <w:p w14:paraId="2DDB3F83" w14:textId="77777777" w:rsidR="005712AF" w:rsidRPr="006920E7" w:rsidRDefault="005712AF" w:rsidP="005712AF">
      <w:pPr>
        <w:spacing w:after="60" w:line="360" w:lineRule="auto"/>
        <w:rPr>
          <w:rFonts w:ascii="Garamond" w:hAnsi="Garamond" w:cs="Times New Roman"/>
          <w:b/>
          <w:i/>
          <w:sz w:val="24"/>
          <w:szCs w:val="24"/>
          <w:lang w:val="en-US"/>
        </w:rPr>
      </w:pPr>
      <w:r w:rsidRPr="006920E7">
        <w:rPr>
          <w:rFonts w:ascii="Garamond" w:hAnsi="Garamond" w:cs="Times New Roman"/>
          <w:b/>
          <w:i/>
          <w:sz w:val="24"/>
          <w:szCs w:val="24"/>
          <w:lang w:val="en-US"/>
        </w:rPr>
        <w:t>4. Regression output of the models with interaction effects</w:t>
      </w:r>
    </w:p>
    <w:p w14:paraId="4F2062ED" w14:textId="77777777" w:rsidR="005712AF" w:rsidRDefault="005712AF" w:rsidP="005712AF">
      <w:pPr>
        <w:spacing w:before="120" w:after="120" w:line="276" w:lineRule="auto"/>
        <w:jc w:val="both"/>
        <w:rPr>
          <w:rFonts w:ascii="Garamond" w:hAnsi="Garamond" w:cs="Times New Roman"/>
          <w:b/>
          <w:sz w:val="24"/>
          <w:szCs w:val="24"/>
          <w:lang w:val="en-US"/>
        </w:rPr>
      </w:pPr>
      <w:r w:rsidRPr="00B2486B">
        <w:rPr>
          <w:rFonts w:ascii="Garamond" w:eastAsia="Times New Roman" w:hAnsi="Garamond" w:cs="Times New Roman"/>
          <w:b/>
          <w:bCs/>
          <w:sz w:val="24"/>
          <w:szCs w:val="24"/>
          <w:lang w:val="en-US" w:eastAsia="ru-RU"/>
        </w:rPr>
        <w:t xml:space="preserve">Table 4.1. </w:t>
      </w:r>
      <w:r w:rsidRPr="00B2486B">
        <w:rPr>
          <w:rFonts w:ascii="Garamond" w:hAnsi="Garamond" w:cs="Times New Roman"/>
          <w:b/>
          <w:sz w:val="24"/>
          <w:szCs w:val="24"/>
          <w:lang w:val="en-US"/>
        </w:rPr>
        <w:t>OLS regression output on respondent’s propensity to vote for the Greens (interaction effects of regions a</w:t>
      </w:r>
      <w:bookmarkStart w:id="1" w:name="_GoBack"/>
      <w:bookmarkEnd w:id="1"/>
      <w:r w:rsidRPr="00B2486B">
        <w:rPr>
          <w:rFonts w:ascii="Garamond" w:hAnsi="Garamond" w:cs="Times New Roman"/>
          <w:b/>
          <w:sz w:val="24"/>
          <w:szCs w:val="24"/>
          <w:lang w:val="en-US"/>
        </w:rPr>
        <w:t>re included)</w:t>
      </w:r>
    </w:p>
    <w:p w14:paraId="287FEBE0" w14:textId="77777777" w:rsidR="005712AF" w:rsidRDefault="005712AF" w:rsidP="005712AF">
      <w:pPr>
        <w:spacing w:before="240" w:after="120" w:line="276" w:lineRule="auto"/>
        <w:jc w:val="both"/>
        <w:rPr>
          <w:rFonts w:ascii="Garamond" w:hAnsi="Garamond" w:cs="Times New Roman"/>
          <w:b/>
          <w:sz w:val="24"/>
          <w:szCs w:val="24"/>
          <w:lang w:val="en-US"/>
        </w:rPr>
      </w:pPr>
      <w:r w:rsidRPr="00E779BB">
        <w:rPr>
          <w:noProof/>
          <w:lang w:eastAsia="ru-RU"/>
        </w:rPr>
        <w:drawing>
          <wp:inline distT="0" distB="0" distL="0" distR="0" wp14:anchorId="44581324" wp14:editId="01E33415">
            <wp:extent cx="5400040" cy="3270182"/>
            <wp:effectExtent l="0" t="0" r="0"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270182"/>
                    </a:xfrm>
                    <a:prstGeom prst="rect">
                      <a:avLst/>
                    </a:prstGeom>
                    <a:noFill/>
                    <a:ln>
                      <a:noFill/>
                    </a:ln>
                  </pic:spPr>
                </pic:pic>
              </a:graphicData>
            </a:graphic>
          </wp:inline>
        </w:drawing>
      </w:r>
    </w:p>
    <w:p w14:paraId="4E88B8AE" w14:textId="77777777" w:rsidR="005712AF" w:rsidRPr="00E779BB" w:rsidRDefault="005712AF" w:rsidP="005712AF">
      <w:pPr>
        <w:spacing w:after="120" w:line="276" w:lineRule="auto"/>
        <w:jc w:val="both"/>
        <w:rPr>
          <w:rFonts w:ascii="Garamond" w:hAnsi="Garamond" w:cs="Times New Roman"/>
          <w:b/>
          <w:sz w:val="24"/>
          <w:szCs w:val="24"/>
          <w:lang w:val="en-US"/>
        </w:rPr>
      </w:pPr>
      <w:r w:rsidRPr="00E779BB">
        <w:rPr>
          <w:noProof/>
          <w:lang w:eastAsia="ru-RU"/>
        </w:rPr>
        <w:lastRenderedPageBreak/>
        <w:drawing>
          <wp:inline distT="0" distB="0" distL="0" distR="0" wp14:anchorId="0451C19B" wp14:editId="4F7CFEB9">
            <wp:extent cx="5400040" cy="8119768"/>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8119768"/>
                    </a:xfrm>
                    <a:prstGeom prst="rect">
                      <a:avLst/>
                    </a:prstGeom>
                    <a:noFill/>
                    <a:ln>
                      <a:noFill/>
                    </a:ln>
                  </pic:spPr>
                </pic:pic>
              </a:graphicData>
            </a:graphic>
          </wp:inline>
        </w:drawing>
      </w:r>
    </w:p>
    <w:p w14:paraId="6E21CFE9" w14:textId="77777777" w:rsidR="005712AF" w:rsidRDefault="005712AF" w:rsidP="005712AF">
      <w:pPr>
        <w:spacing w:after="0" w:line="276" w:lineRule="auto"/>
        <w:rPr>
          <w:rFonts w:ascii="Garamond" w:eastAsia="Times New Roman" w:hAnsi="Garamond" w:cs="Times New Roman"/>
          <w:bCs/>
          <w:sz w:val="24"/>
          <w:szCs w:val="24"/>
          <w:lang w:val="en-US" w:eastAsia="ru-RU"/>
        </w:rPr>
      </w:pPr>
    </w:p>
    <w:p w14:paraId="223222A5" w14:textId="77777777" w:rsidR="005712AF" w:rsidRDefault="005712AF" w:rsidP="005712AF">
      <w:pPr>
        <w:spacing w:after="0" w:line="276" w:lineRule="auto"/>
        <w:rPr>
          <w:rFonts w:ascii="Garamond" w:eastAsia="Times New Roman" w:hAnsi="Garamond" w:cs="Times New Roman"/>
          <w:bCs/>
          <w:sz w:val="24"/>
          <w:szCs w:val="24"/>
          <w:lang w:val="en-US" w:eastAsia="ru-RU"/>
        </w:rPr>
      </w:pPr>
      <w:r w:rsidRPr="00794A39">
        <w:rPr>
          <w:noProof/>
          <w:lang w:eastAsia="ru-RU"/>
        </w:rPr>
        <w:lastRenderedPageBreak/>
        <w:drawing>
          <wp:inline distT="0" distB="0" distL="0" distR="0" wp14:anchorId="0944DE83" wp14:editId="3218ED94">
            <wp:extent cx="5400040" cy="800976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8009769"/>
                    </a:xfrm>
                    <a:prstGeom prst="rect">
                      <a:avLst/>
                    </a:prstGeom>
                    <a:noFill/>
                    <a:ln>
                      <a:noFill/>
                    </a:ln>
                  </pic:spPr>
                </pic:pic>
              </a:graphicData>
            </a:graphic>
          </wp:inline>
        </w:drawing>
      </w:r>
    </w:p>
    <w:p w14:paraId="7867D74C" w14:textId="77777777" w:rsidR="005712AF" w:rsidRDefault="005712AF" w:rsidP="005712AF">
      <w:pPr>
        <w:spacing w:after="0" w:line="276" w:lineRule="auto"/>
        <w:rPr>
          <w:rFonts w:ascii="Garamond" w:eastAsia="Times New Roman" w:hAnsi="Garamond" w:cs="Times New Roman"/>
          <w:bCs/>
          <w:sz w:val="24"/>
          <w:szCs w:val="24"/>
          <w:lang w:val="en-US" w:eastAsia="ru-RU"/>
        </w:rPr>
      </w:pPr>
    </w:p>
    <w:p w14:paraId="42BB8A20" w14:textId="77777777" w:rsidR="005712AF" w:rsidRDefault="005712AF" w:rsidP="005712AF">
      <w:pPr>
        <w:spacing w:after="0" w:line="276" w:lineRule="auto"/>
        <w:rPr>
          <w:rFonts w:ascii="Garamond" w:eastAsia="Times New Roman" w:hAnsi="Garamond" w:cs="Times New Roman"/>
          <w:bCs/>
          <w:sz w:val="24"/>
          <w:szCs w:val="24"/>
          <w:lang w:val="en-US" w:eastAsia="ru-RU"/>
        </w:rPr>
      </w:pPr>
    </w:p>
    <w:p w14:paraId="2FAECFDB" w14:textId="77777777" w:rsidR="005712AF" w:rsidRDefault="005712AF" w:rsidP="005712AF">
      <w:pPr>
        <w:spacing w:after="0" w:line="276" w:lineRule="auto"/>
        <w:rPr>
          <w:rFonts w:ascii="Garamond" w:eastAsia="Times New Roman" w:hAnsi="Garamond" w:cs="Times New Roman"/>
          <w:bCs/>
          <w:sz w:val="24"/>
          <w:szCs w:val="24"/>
          <w:lang w:val="en-US" w:eastAsia="ru-RU"/>
        </w:rPr>
      </w:pPr>
      <w:r w:rsidRPr="00F71320">
        <w:rPr>
          <w:noProof/>
          <w:lang w:eastAsia="ru-RU"/>
        </w:rPr>
        <w:lastRenderedPageBreak/>
        <w:drawing>
          <wp:inline distT="0" distB="0" distL="0" distR="0" wp14:anchorId="015F2421" wp14:editId="39F9C5E7">
            <wp:extent cx="5400040" cy="819997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8199976"/>
                    </a:xfrm>
                    <a:prstGeom prst="rect">
                      <a:avLst/>
                    </a:prstGeom>
                    <a:noFill/>
                    <a:ln>
                      <a:noFill/>
                    </a:ln>
                  </pic:spPr>
                </pic:pic>
              </a:graphicData>
            </a:graphic>
          </wp:inline>
        </w:drawing>
      </w:r>
    </w:p>
    <w:p w14:paraId="6068E36B" w14:textId="77777777" w:rsidR="005712AF" w:rsidRDefault="005712AF" w:rsidP="005712AF">
      <w:pPr>
        <w:spacing w:after="0" w:line="276" w:lineRule="auto"/>
        <w:rPr>
          <w:rFonts w:ascii="Garamond" w:eastAsia="Times New Roman" w:hAnsi="Garamond" w:cs="Times New Roman"/>
          <w:bCs/>
          <w:sz w:val="24"/>
          <w:szCs w:val="24"/>
          <w:lang w:val="en-US" w:eastAsia="ru-RU"/>
        </w:rPr>
      </w:pPr>
    </w:p>
    <w:p w14:paraId="32E95810" w14:textId="77777777" w:rsidR="005712AF" w:rsidRDefault="005712AF" w:rsidP="005712AF">
      <w:pPr>
        <w:spacing w:after="0" w:line="276" w:lineRule="auto"/>
        <w:rPr>
          <w:rFonts w:ascii="Garamond" w:eastAsia="Times New Roman" w:hAnsi="Garamond" w:cs="Times New Roman"/>
          <w:bCs/>
          <w:sz w:val="24"/>
          <w:szCs w:val="24"/>
          <w:lang w:val="en-US" w:eastAsia="ru-RU"/>
        </w:rPr>
      </w:pPr>
      <w:r w:rsidRPr="006762CD">
        <w:rPr>
          <w:noProof/>
          <w:lang w:eastAsia="ru-RU"/>
        </w:rPr>
        <w:lastRenderedPageBreak/>
        <w:drawing>
          <wp:inline distT="0" distB="0" distL="0" distR="0" wp14:anchorId="3E2A0670" wp14:editId="6D45BB9E">
            <wp:extent cx="5400040" cy="22499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249940"/>
                    </a:xfrm>
                    <a:prstGeom prst="rect">
                      <a:avLst/>
                    </a:prstGeom>
                    <a:noFill/>
                    <a:ln>
                      <a:noFill/>
                    </a:ln>
                  </pic:spPr>
                </pic:pic>
              </a:graphicData>
            </a:graphic>
          </wp:inline>
        </w:drawing>
      </w:r>
    </w:p>
    <w:p w14:paraId="3CE42FA2" w14:textId="77777777" w:rsidR="005712AF" w:rsidRPr="00BC777F" w:rsidRDefault="005712AF" w:rsidP="005712AF">
      <w:pPr>
        <w:spacing w:before="120" w:after="0" w:line="276" w:lineRule="auto"/>
        <w:jc w:val="both"/>
        <w:rPr>
          <w:rFonts w:ascii="Garamond" w:hAnsi="Garamond" w:cs="Times New Roman"/>
          <w:b/>
          <w:sz w:val="24"/>
          <w:szCs w:val="24"/>
          <w:lang w:val="en-US"/>
        </w:rPr>
      </w:pPr>
      <w:r w:rsidRPr="00BC777F">
        <w:rPr>
          <w:rFonts w:ascii="Garamond" w:eastAsia="Times New Roman" w:hAnsi="Garamond" w:cs="Times New Roman"/>
          <w:bCs/>
          <w:sz w:val="24"/>
          <w:szCs w:val="24"/>
          <w:lang w:val="en-US" w:eastAsia="ru-RU"/>
        </w:rPr>
        <w:t>Note: *p&lt;0.1; **p&lt;0.05; ***p&lt;0.01.</w:t>
      </w:r>
      <w:r>
        <w:rPr>
          <w:rFonts w:ascii="Garamond" w:eastAsia="Times New Roman" w:hAnsi="Garamond" w:cs="Times New Roman"/>
          <w:bCs/>
          <w:sz w:val="24"/>
          <w:szCs w:val="24"/>
          <w:lang w:val="en-US" w:eastAsia="ru-RU"/>
        </w:rPr>
        <w:t xml:space="preserve"> </w:t>
      </w:r>
      <w:r>
        <w:rPr>
          <w:rFonts w:ascii="Garamond" w:hAnsi="Garamond" w:cs="Times New Roman"/>
          <w:sz w:val="24"/>
          <w:szCs w:val="24"/>
          <w:lang w:val="en-US"/>
        </w:rPr>
        <w:t>Cells entries are un</w:t>
      </w:r>
      <w:r w:rsidRPr="00BC777F">
        <w:rPr>
          <w:rFonts w:ascii="Garamond" w:hAnsi="Garamond" w:cs="Times New Roman"/>
          <w:sz w:val="24"/>
          <w:szCs w:val="24"/>
          <w:lang w:val="en-US"/>
        </w:rPr>
        <w:t>standardized regression coefficient</w:t>
      </w:r>
      <w:r>
        <w:rPr>
          <w:rFonts w:ascii="Garamond" w:hAnsi="Garamond" w:cs="Times New Roman"/>
          <w:sz w:val="24"/>
          <w:szCs w:val="24"/>
          <w:lang w:val="en-US"/>
        </w:rPr>
        <w:t xml:space="preserve">s and </w:t>
      </w:r>
      <w:r w:rsidRPr="00BC777F">
        <w:rPr>
          <w:rFonts w:ascii="Garamond" w:hAnsi="Garamond" w:cs="Times New Roman"/>
          <w:sz w:val="24"/>
          <w:szCs w:val="24"/>
          <w:lang w:val="en-US"/>
        </w:rPr>
        <w:t xml:space="preserve">standard errors (in </w:t>
      </w:r>
      <w:r>
        <w:rPr>
          <w:rFonts w:ascii="Garamond" w:hAnsi="Garamond" w:cs="Times New Roman"/>
          <w:sz w:val="24"/>
          <w:szCs w:val="24"/>
          <w:lang w:val="en-US"/>
        </w:rPr>
        <w:t>parentheses</w:t>
      </w:r>
      <w:r w:rsidRPr="00BC777F">
        <w:rPr>
          <w:rFonts w:ascii="Garamond" w:hAnsi="Garamond" w:cs="Times New Roman"/>
          <w:sz w:val="24"/>
          <w:szCs w:val="24"/>
          <w:lang w:val="en-US"/>
        </w:rPr>
        <w:t>).</w:t>
      </w:r>
    </w:p>
    <w:p w14:paraId="1904412E" w14:textId="77777777" w:rsidR="005712AF" w:rsidRDefault="005712AF" w:rsidP="005712AF">
      <w:pPr>
        <w:spacing w:before="120" w:after="0" w:line="276" w:lineRule="auto"/>
        <w:jc w:val="both"/>
        <w:rPr>
          <w:rFonts w:ascii="Garamond" w:eastAsia="Times New Roman" w:hAnsi="Garamond" w:cs="Times New Roman"/>
          <w:bCs/>
          <w:sz w:val="24"/>
          <w:szCs w:val="24"/>
          <w:lang w:val="en-US" w:eastAsia="ru-RU"/>
        </w:rPr>
      </w:pPr>
      <w:r w:rsidRPr="00BC777F">
        <w:rPr>
          <w:rFonts w:ascii="Garamond" w:hAnsi="Garamond" w:cs="Times New Roman"/>
          <w:sz w:val="24"/>
          <w:szCs w:val="24"/>
          <w:lang w:val="en-US"/>
        </w:rPr>
        <w:t xml:space="preserve">Source: </w:t>
      </w:r>
      <w:r w:rsidRPr="00BC777F">
        <w:rPr>
          <w:rFonts w:ascii="Garamond" w:eastAsia="Times New Roman" w:hAnsi="Garamond" w:cs="Times New Roman"/>
          <w:bCs/>
          <w:sz w:val="24"/>
          <w:szCs w:val="24"/>
          <w:lang w:val="en-US" w:eastAsia="ru-RU"/>
        </w:rPr>
        <w:t>Author from ALLBUS 2018</w:t>
      </w:r>
      <w:r>
        <w:rPr>
          <w:rFonts w:ascii="Garamond" w:eastAsia="Times New Roman" w:hAnsi="Garamond" w:cs="Times New Roman"/>
          <w:bCs/>
          <w:sz w:val="24"/>
          <w:szCs w:val="24"/>
          <w:lang w:val="en-US" w:eastAsia="ru-RU"/>
        </w:rPr>
        <w:t xml:space="preserve"> </w:t>
      </w:r>
      <w:r w:rsidRPr="00CA69B4">
        <w:rPr>
          <w:rFonts w:ascii="Garamond" w:eastAsia="Times New Roman" w:hAnsi="Garamond" w:cs="Times New Roman"/>
          <w:bCs/>
          <w:sz w:val="24"/>
          <w:szCs w:val="24"/>
          <w:lang w:val="en-US" w:eastAsia="ru-RU"/>
        </w:rPr>
        <w:t>(Bauman</w:t>
      </w:r>
      <w:r>
        <w:rPr>
          <w:rFonts w:ascii="Garamond" w:eastAsia="Times New Roman" w:hAnsi="Garamond" w:cs="Times New Roman"/>
          <w:bCs/>
          <w:sz w:val="24"/>
          <w:szCs w:val="24"/>
          <w:lang w:val="en-US" w:eastAsia="ru-RU"/>
        </w:rPr>
        <w:t xml:space="preserve">n, Schulz, and </w:t>
      </w:r>
      <w:proofErr w:type="spellStart"/>
      <w:r>
        <w:rPr>
          <w:rFonts w:ascii="Garamond" w:eastAsia="Times New Roman" w:hAnsi="Garamond" w:cs="Times New Roman"/>
          <w:bCs/>
          <w:sz w:val="24"/>
          <w:szCs w:val="24"/>
          <w:lang w:val="en-US" w:eastAsia="ru-RU"/>
        </w:rPr>
        <w:t>Thiesen</w:t>
      </w:r>
      <w:proofErr w:type="spellEnd"/>
      <w:r>
        <w:rPr>
          <w:rFonts w:ascii="Garamond" w:eastAsia="Times New Roman" w:hAnsi="Garamond" w:cs="Times New Roman"/>
          <w:bCs/>
          <w:sz w:val="24"/>
          <w:szCs w:val="24"/>
          <w:lang w:val="en-US" w:eastAsia="ru-RU"/>
        </w:rPr>
        <w:t xml:space="preserve"> 2019)</w:t>
      </w:r>
      <w:r w:rsidRPr="00BC777F">
        <w:rPr>
          <w:rFonts w:ascii="Garamond" w:eastAsia="Times New Roman" w:hAnsi="Garamond" w:cs="Times New Roman"/>
          <w:bCs/>
          <w:sz w:val="24"/>
          <w:szCs w:val="24"/>
          <w:lang w:val="en-US" w:eastAsia="ru-RU"/>
        </w:rPr>
        <w:t>.</w:t>
      </w:r>
    </w:p>
    <w:p w14:paraId="534547B1" w14:textId="77777777" w:rsidR="005712AF" w:rsidRDefault="005712AF" w:rsidP="005712AF">
      <w:pPr>
        <w:spacing w:after="0" w:line="276" w:lineRule="auto"/>
        <w:rPr>
          <w:rFonts w:ascii="Garamond" w:eastAsia="Times New Roman" w:hAnsi="Garamond" w:cs="Times New Roman"/>
          <w:bCs/>
          <w:sz w:val="24"/>
          <w:szCs w:val="24"/>
          <w:lang w:val="en-US" w:eastAsia="ru-RU"/>
        </w:rPr>
      </w:pPr>
    </w:p>
    <w:p w14:paraId="23DC442B" w14:textId="77777777" w:rsidR="005712AF" w:rsidRPr="006920E7" w:rsidRDefault="005712AF" w:rsidP="005712AF">
      <w:pPr>
        <w:spacing w:before="120" w:after="0" w:line="360" w:lineRule="auto"/>
        <w:rPr>
          <w:rFonts w:ascii="Garamond" w:eastAsia="Times New Roman" w:hAnsi="Garamond" w:cs="Times New Roman"/>
          <w:bCs/>
          <w:i/>
          <w:sz w:val="24"/>
          <w:szCs w:val="24"/>
          <w:lang w:val="en-US" w:eastAsia="ru-RU"/>
        </w:rPr>
      </w:pPr>
      <w:r w:rsidRPr="006920E7">
        <w:rPr>
          <w:rFonts w:ascii="Garamond" w:eastAsia="Times New Roman" w:hAnsi="Garamond" w:cs="Times New Roman"/>
          <w:b/>
          <w:bCs/>
          <w:i/>
          <w:sz w:val="24"/>
          <w:szCs w:val="24"/>
          <w:lang w:val="en-US" w:eastAsia="ru-RU"/>
        </w:rPr>
        <w:t>5</w:t>
      </w:r>
      <w:r w:rsidRPr="006920E7">
        <w:rPr>
          <w:rFonts w:ascii="Garamond" w:eastAsia="Times New Roman" w:hAnsi="Garamond" w:cs="Times New Roman"/>
          <w:bCs/>
          <w:i/>
          <w:sz w:val="24"/>
          <w:szCs w:val="24"/>
          <w:lang w:val="en-US" w:eastAsia="ru-RU"/>
        </w:rPr>
        <w:t xml:space="preserve">. </w:t>
      </w:r>
      <w:r w:rsidRPr="006920E7">
        <w:rPr>
          <w:rFonts w:ascii="Garamond" w:eastAsia="Times New Roman" w:hAnsi="Garamond" w:cs="Times New Roman"/>
          <w:b/>
          <w:bCs/>
          <w:i/>
          <w:sz w:val="24"/>
          <w:szCs w:val="24"/>
          <w:lang w:val="en-US" w:eastAsia="ru-RU"/>
        </w:rPr>
        <w:t xml:space="preserve">Post-materialism level measurement </w:t>
      </w:r>
    </w:p>
    <w:p w14:paraId="542FEA8E" w14:textId="77777777" w:rsidR="005712AF" w:rsidRPr="00144D79" w:rsidRDefault="005712AF" w:rsidP="005712AF">
      <w:pPr>
        <w:spacing w:before="120" w:after="120" w:line="360" w:lineRule="auto"/>
        <w:jc w:val="both"/>
        <w:rPr>
          <w:rFonts w:ascii="Garamond" w:eastAsia="Times New Roman" w:hAnsi="Garamond" w:cs="Times New Roman"/>
          <w:b/>
          <w:bCs/>
          <w:sz w:val="24"/>
          <w:szCs w:val="24"/>
          <w:lang w:val="en-US" w:eastAsia="ru-RU"/>
        </w:rPr>
      </w:pPr>
      <w:r w:rsidRPr="00144D79">
        <w:rPr>
          <w:rFonts w:ascii="Garamond" w:eastAsia="Times New Roman" w:hAnsi="Garamond" w:cs="Times New Roman"/>
          <w:b/>
          <w:bCs/>
          <w:sz w:val="24"/>
          <w:szCs w:val="24"/>
          <w:lang w:val="en-US" w:eastAsia="ru-RU"/>
        </w:rPr>
        <w:t>Table 5.1. Level of post-materialism with respect to Eastern and Western residence</w:t>
      </w:r>
    </w:p>
    <w:tbl>
      <w:tblPr>
        <w:tblW w:w="8500" w:type="dxa"/>
        <w:tblLook w:val="04A0" w:firstRow="1" w:lastRow="0" w:firstColumn="1" w:lastColumn="0" w:noHBand="0" w:noVBand="1"/>
      </w:tblPr>
      <w:tblGrid>
        <w:gridCol w:w="1826"/>
        <w:gridCol w:w="1030"/>
        <w:gridCol w:w="1160"/>
        <w:gridCol w:w="1160"/>
        <w:gridCol w:w="1191"/>
        <w:gridCol w:w="1134"/>
        <w:gridCol w:w="999"/>
      </w:tblGrid>
      <w:tr w:rsidR="005712AF" w:rsidRPr="00144D79" w14:paraId="6C8D8C0A" w14:textId="77777777" w:rsidTr="000C6411">
        <w:trPr>
          <w:trHeight w:val="100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279F" w14:textId="77777777" w:rsidR="005712AF" w:rsidRPr="00144D79" w:rsidRDefault="005712AF" w:rsidP="000C6411">
            <w:pPr>
              <w:spacing w:after="0" w:line="240" w:lineRule="auto"/>
              <w:jc w:val="center"/>
              <w:rPr>
                <w:rFonts w:ascii="Garamond" w:eastAsia="Times New Roman" w:hAnsi="Garamond" w:cs="Times New Roman"/>
                <w:i/>
                <w:color w:val="000000"/>
                <w:lang w:eastAsia="ru-RU"/>
              </w:rPr>
            </w:pPr>
            <w:r w:rsidRPr="00144D79">
              <w:rPr>
                <w:rFonts w:ascii="Garamond" w:eastAsia="Times New Roman" w:hAnsi="Garamond" w:cs="Times New Roman"/>
                <w:i/>
                <w:color w:val="000000"/>
                <w:lang w:eastAsia="ru-RU"/>
              </w:rPr>
              <w:t>Region</w:t>
            </w:r>
          </w:p>
        </w:tc>
        <w:tc>
          <w:tcPr>
            <w:tcW w:w="361" w:type="dxa"/>
            <w:tcBorders>
              <w:top w:val="single" w:sz="4" w:space="0" w:color="auto"/>
              <w:left w:val="nil"/>
              <w:bottom w:val="single" w:sz="4" w:space="0" w:color="auto"/>
              <w:right w:val="single" w:sz="4" w:space="0" w:color="auto"/>
            </w:tcBorders>
            <w:shd w:val="clear" w:color="auto" w:fill="auto"/>
            <w:vAlign w:val="center"/>
            <w:hideMark/>
          </w:tcPr>
          <w:p w14:paraId="176AD708" w14:textId="77777777" w:rsidR="005712AF" w:rsidRPr="00144D79" w:rsidRDefault="005712AF" w:rsidP="000C6411">
            <w:pPr>
              <w:spacing w:after="0" w:line="240" w:lineRule="auto"/>
              <w:jc w:val="center"/>
              <w:rPr>
                <w:rFonts w:ascii="Garamond" w:eastAsia="Times New Roman" w:hAnsi="Garamond" w:cs="Times New Roman"/>
                <w:i/>
                <w:color w:val="000000"/>
                <w:lang w:eastAsia="ru-RU"/>
              </w:rPr>
            </w:pPr>
            <w:r w:rsidRPr="00144D79">
              <w:rPr>
                <w:rFonts w:ascii="Garamond" w:eastAsia="Times New Roman" w:hAnsi="Garamond" w:cs="Times New Roman"/>
                <w:i/>
                <w:color w:val="000000"/>
                <w:lang w:eastAsia="ru-RU"/>
              </w:rPr>
              <w:t>Materialist</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78C80054" w14:textId="77777777" w:rsidR="005712AF" w:rsidRPr="00144D79" w:rsidRDefault="005712AF" w:rsidP="000C6411">
            <w:pPr>
              <w:spacing w:after="0" w:line="240" w:lineRule="auto"/>
              <w:jc w:val="center"/>
              <w:rPr>
                <w:rFonts w:ascii="Garamond" w:eastAsia="Times New Roman" w:hAnsi="Garamond" w:cs="Times New Roman"/>
                <w:i/>
                <w:color w:val="000000"/>
                <w:lang w:eastAsia="ru-RU"/>
              </w:rPr>
            </w:pPr>
            <w:r w:rsidRPr="00144D79">
              <w:rPr>
                <w:rFonts w:ascii="Garamond" w:eastAsia="Times New Roman" w:hAnsi="Garamond" w:cs="Times New Roman"/>
                <w:i/>
                <w:color w:val="000000"/>
                <w:lang w:eastAsia="ru-RU"/>
              </w:rPr>
              <w:t>Mixed-                 materialist</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2BC1A016" w14:textId="77777777" w:rsidR="005712AF" w:rsidRPr="00144D79" w:rsidRDefault="005712AF" w:rsidP="000C6411">
            <w:pPr>
              <w:spacing w:after="0" w:line="240" w:lineRule="auto"/>
              <w:jc w:val="center"/>
              <w:rPr>
                <w:rFonts w:ascii="Garamond" w:eastAsia="Times New Roman" w:hAnsi="Garamond" w:cs="Times New Roman"/>
                <w:i/>
                <w:color w:val="000000"/>
                <w:lang w:eastAsia="ru-RU"/>
              </w:rPr>
            </w:pPr>
            <w:r w:rsidRPr="00144D79">
              <w:rPr>
                <w:rFonts w:ascii="Garamond" w:eastAsia="Times New Roman" w:hAnsi="Garamond" w:cs="Times New Roman"/>
                <w:i/>
                <w:color w:val="000000"/>
                <w:lang w:eastAsia="ru-RU"/>
              </w:rPr>
              <w:t>Mixed-         post-materialist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E27325A" w14:textId="77777777" w:rsidR="005712AF" w:rsidRPr="00144D79" w:rsidRDefault="005712AF" w:rsidP="000C6411">
            <w:pPr>
              <w:spacing w:after="0" w:line="240" w:lineRule="auto"/>
              <w:jc w:val="center"/>
              <w:rPr>
                <w:rFonts w:ascii="Garamond" w:eastAsia="Times New Roman" w:hAnsi="Garamond" w:cs="Times New Roman"/>
                <w:i/>
                <w:color w:val="000000"/>
                <w:lang w:eastAsia="ru-RU"/>
              </w:rPr>
            </w:pPr>
            <w:r w:rsidRPr="00144D79">
              <w:rPr>
                <w:rFonts w:ascii="Garamond" w:eastAsia="Times New Roman" w:hAnsi="Garamond" w:cs="Times New Roman"/>
                <w:i/>
                <w:color w:val="000000"/>
                <w:lang w:eastAsia="ru-RU"/>
              </w:rPr>
              <w:t>Post-Materialist</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00C36FAE" w14:textId="77777777" w:rsidR="005712AF" w:rsidRPr="00144D79" w:rsidRDefault="005712AF" w:rsidP="000C6411">
            <w:pPr>
              <w:spacing w:after="0" w:line="240" w:lineRule="auto"/>
              <w:jc w:val="center"/>
              <w:rPr>
                <w:rFonts w:ascii="Garamond" w:eastAsia="Times New Roman" w:hAnsi="Garamond" w:cs="Times New Roman"/>
                <w:i/>
                <w:color w:val="000000"/>
                <w:lang w:eastAsia="ru-RU"/>
              </w:rPr>
            </w:pPr>
            <w:r w:rsidRPr="00144D79">
              <w:rPr>
                <w:rFonts w:ascii="Garamond" w:eastAsia="Times New Roman" w:hAnsi="Garamond" w:cs="Times New Roman"/>
                <w:i/>
                <w:color w:val="000000"/>
                <w:lang w:eastAsia="ru-RU"/>
              </w:rPr>
              <w:t>Non                available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0168A" w14:textId="77777777" w:rsidR="005712AF" w:rsidRPr="00144D79" w:rsidRDefault="005712AF" w:rsidP="000C6411">
            <w:pPr>
              <w:spacing w:after="0" w:line="240" w:lineRule="auto"/>
              <w:jc w:val="center"/>
              <w:rPr>
                <w:rFonts w:ascii="Garamond" w:eastAsia="Times New Roman" w:hAnsi="Garamond" w:cs="Times New Roman"/>
                <w:i/>
                <w:color w:val="000000"/>
                <w:lang w:eastAsia="ru-RU"/>
              </w:rPr>
            </w:pPr>
            <w:r w:rsidRPr="00144D79">
              <w:rPr>
                <w:rFonts w:ascii="Garamond" w:eastAsia="Times New Roman" w:hAnsi="Garamond" w:cs="Times New Roman"/>
                <w:i/>
                <w:color w:val="000000"/>
                <w:lang w:eastAsia="ru-RU"/>
              </w:rPr>
              <w:t>Total</w:t>
            </w:r>
          </w:p>
        </w:tc>
      </w:tr>
      <w:tr w:rsidR="005712AF" w:rsidRPr="00144D79" w14:paraId="686D0CD3" w14:textId="77777777" w:rsidTr="000C6411">
        <w:trPr>
          <w:trHeight w:val="450"/>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0D42541F" w14:textId="77777777" w:rsidR="005712AF" w:rsidRPr="00144D79" w:rsidRDefault="005712AF" w:rsidP="000C6411">
            <w:pPr>
              <w:spacing w:after="0" w:line="240" w:lineRule="auto"/>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East Germany</w:t>
            </w:r>
          </w:p>
        </w:tc>
        <w:tc>
          <w:tcPr>
            <w:tcW w:w="361" w:type="dxa"/>
            <w:vMerge w:val="restart"/>
            <w:tcBorders>
              <w:top w:val="nil"/>
              <w:left w:val="single" w:sz="4" w:space="0" w:color="auto"/>
              <w:bottom w:val="single" w:sz="4" w:space="0" w:color="auto"/>
              <w:right w:val="single" w:sz="4" w:space="0" w:color="auto"/>
            </w:tcBorders>
            <w:shd w:val="clear" w:color="auto" w:fill="auto"/>
            <w:vAlign w:val="center"/>
            <w:hideMark/>
          </w:tcPr>
          <w:p w14:paraId="44A1DFBC"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124 (11.3%)</w:t>
            </w:r>
          </w:p>
        </w:tc>
        <w:tc>
          <w:tcPr>
            <w:tcW w:w="1223" w:type="dxa"/>
            <w:vMerge w:val="restart"/>
            <w:tcBorders>
              <w:top w:val="nil"/>
              <w:left w:val="single" w:sz="4" w:space="0" w:color="auto"/>
              <w:bottom w:val="single" w:sz="4" w:space="0" w:color="auto"/>
              <w:right w:val="single" w:sz="4" w:space="0" w:color="auto"/>
            </w:tcBorders>
            <w:shd w:val="clear" w:color="auto" w:fill="auto"/>
            <w:vAlign w:val="center"/>
            <w:hideMark/>
          </w:tcPr>
          <w:p w14:paraId="11110B2A"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431 (39.5%)</w:t>
            </w:r>
          </w:p>
        </w:tc>
        <w:tc>
          <w:tcPr>
            <w:tcW w:w="1223" w:type="dxa"/>
            <w:vMerge w:val="restart"/>
            <w:tcBorders>
              <w:top w:val="nil"/>
              <w:left w:val="single" w:sz="4" w:space="0" w:color="auto"/>
              <w:bottom w:val="single" w:sz="4" w:space="0" w:color="auto"/>
              <w:right w:val="single" w:sz="4" w:space="0" w:color="auto"/>
            </w:tcBorders>
            <w:shd w:val="clear" w:color="auto" w:fill="auto"/>
            <w:vAlign w:val="center"/>
            <w:hideMark/>
          </w:tcPr>
          <w:p w14:paraId="55E5F1E5"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314 (28.8%)</w:t>
            </w:r>
          </w:p>
        </w:tc>
        <w:tc>
          <w:tcPr>
            <w:tcW w:w="1249" w:type="dxa"/>
            <w:vMerge w:val="restart"/>
            <w:tcBorders>
              <w:top w:val="nil"/>
              <w:left w:val="single" w:sz="4" w:space="0" w:color="auto"/>
              <w:bottom w:val="single" w:sz="4" w:space="0" w:color="auto"/>
              <w:right w:val="single" w:sz="4" w:space="0" w:color="auto"/>
            </w:tcBorders>
            <w:shd w:val="clear" w:color="auto" w:fill="auto"/>
            <w:vAlign w:val="center"/>
            <w:hideMark/>
          </w:tcPr>
          <w:p w14:paraId="717DBB66"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212  (19.4%)</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hideMark/>
          </w:tcPr>
          <w:p w14:paraId="7F8B36C1"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9 (0.008%)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AC09050"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1090</w:t>
            </w:r>
          </w:p>
        </w:tc>
      </w:tr>
      <w:tr w:rsidR="005712AF" w:rsidRPr="00144D79" w14:paraId="1489C20F" w14:textId="77777777" w:rsidTr="000C6411">
        <w:trPr>
          <w:trHeight w:val="476"/>
        </w:trPr>
        <w:tc>
          <w:tcPr>
            <w:tcW w:w="2122" w:type="dxa"/>
            <w:vMerge/>
            <w:tcBorders>
              <w:top w:val="nil"/>
              <w:left w:val="single" w:sz="4" w:space="0" w:color="auto"/>
              <w:bottom w:val="single" w:sz="4" w:space="0" w:color="auto"/>
              <w:right w:val="single" w:sz="4" w:space="0" w:color="auto"/>
            </w:tcBorders>
            <w:vAlign w:val="center"/>
            <w:hideMark/>
          </w:tcPr>
          <w:p w14:paraId="3A91EA99"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361" w:type="dxa"/>
            <w:vMerge/>
            <w:tcBorders>
              <w:top w:val="nil"/>
              <w:left w:val="single" w:sz="4" w:space="0" w:color="auto"/>
              <w:bottom w:val="single" w:sz="4" w:space="0" w:color="auto"/>
              <w:right w:val="single" w:sz="4" w:space="0" w:color="auto"/>
            </w:tcBorders>
            <w:vAlign w:val="center"/>
            <w:hideMark/>
          </w:tcPr>
          <w:p w14:paraId="0AE1B14C"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223" w:type="dxa"/>
            <w:vMerge/>
            <w:tcBorders>
              <w:top w:val="nil"/>
              <w:left w:val="single" w:sz="4" w:space="0" w:color="auto"/>
              <w:bottom w:val="single" w:sz="4" w:space="0" w:color="auto"/>
              <w:right w:val="single" w:sz="4" w:space="0" w:color="auto"/>
            </w:tcBorders>
            <w:vAlign w:val="center"/>
            <w:hideMark/>
          </w:tcPr>
          <w:p w14:paraId="0F5B6F8D"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223" w:type="dxa"/>
            <w:vMerge/>
            <w:tcBorders>
              <w:top w:val="nil"/>
              <w:left w:val="single" w:sz="4" w:space="0" w:color="auto"/>
              <w:bottom w:val="single" w:sz="4" w:space="0" w:color="auto"/>
              <w:right w:val="single" w:sz="4" w:space="0" w:color="auto"/>
            </w:tcBorders>
            <w:vAlign w:val="center"/>
            <w:hideMark/>
          </w:tcPr>
          <w:p w14:paraId="41D33DE1"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249" w:type="dxa"/>
            <w:vMerge/>
            <w:tcBorders>
              <w:top w:val="nil"/>
              <w:left w:val="single" w:sz="4" w:space="0" w:color="auto"/>
              <w:bottom w:val="single" w:sz="4" w:space="0" w:color="auto"/>
              <w:right w:val="single" w:sz="4" w:space="0" w:color="auto"/>
            </w:tcBorders>
            <w:vAlign w:val="center"/>
            <w:hideMark/>
          </w:tcPr>
          <w:p w14:paraId="5FF9A96B"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188" w:type="dxa"/>
            <w:vMerge/>
            <w:tcBorders>
              <w:top w:val="nil"/>
              <w:left w:val="single" w:sz="4" w:space="0" w:color="auto"/>
              <w:bottom w:val="single" w:sz="4" w:space="0" w:color="auto"/>
              <w:right w:val="single" w:sz="4" w:space="0" w:color="auto"/>
            </w:tcBorders>
            <w:vAlign w:val="center"/>
            <w:hideMark/>
          </w:tcPr>
          <w:p w14:paraId="07E54F0F"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16961E" w14:textId="77777777" w:rsidR="005712AF" w:rsidRPr="00144D79" w:rsidRDefault="005712AF" w:rsidP="000C6411">
            <w:pPr>
              <w:spacing w:after="0" w:line="240" w:lineRule="auto"/>
              <w:rPr>
                <w:rFonts w:ascii="Garamond" w:eastAsia="Times New Roman" w:hAnsi="Garamond" w:cs="Times New Roman"/>
                <w:color w:val="000000"/>
                <w:lang w:eastAsia="ru-RU"/>
              </w:rPr>
            </w:pPr>
          </w:p>
        </w:tc>
      </w:tr>
      <w:tr w:rsidR="005712AF" w:rsidRPr="00144D79" w14:paraId="0659F882" w14:textId="77777777" w:rsidTr="000C6411">
        <w:trPr>
          <w:trHeight w:val="450"/>
        </w:trPr>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14:paraId="03E68608" w14:textId="77777777" w:rsidR="005712AF" w:rsidRPr="00144D79" w:rsidRDefault="005712AF" w:rsidP="000C6411">
            <w:pPr>
              <w:spacing w:after="0" w:line="240" w:lineRule="auto"/>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West Germany</w:t>
            </w:r>
          </w:p>
        </w:tc>
        <w:tc>
          <w:tcPr>
            <w:tcW w:w="361" w:type="dxa"/>
            <w:vMerge w:val="restart"/>
            <w:tcBorders>
              <w:top w:val="nil"/>
              <w:left w:val="single" w:sz="4" w:space="0" w:color="auto"/>
              <w:bottom w:val="single" w:sz="4" w:space="0" w:color="auto"/>
              <w:right w:val="single" w:sz="4" w:space="0" w:color="auto"/>
            </w:tcBorders>
            <w:shd w:val="clear" w:color="auto" w:fill="auto"/>
            <w:vAlign w:val="center"/>
            <w:hideMark/>
          </w:tcPr>
          <w:p w14:paraId="3DB09D73"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186 (7.7%)</w:t>
            </w:r>
          </w:p>
        </w:tc>
        <w:tc>
          <w:tcPr>
            <w:tcW w:w="1223" w:type="dxa"/>
            <w:vMerge w:val="restart"/>
            <w:tcBorders>
              <w:top w:val="nil"/>
              <w:left w:val="single" w:sz="4" w:space="0" w:color="auto"/>
              <w:bottom w:val="single" w:sz="4" w:space="0" w:color="auto"/>
              <w:right w:val="single" w:sz="4" w:space="0" w:color="auto"/>
            </w:tcBorders>
            <w:shd w:val="clear" w:color="auto" w:fill="auto"/>
            <w:vAlign w:val="center"/>
            <w:hideMark/>
          </w:tcPr>
          <w:p w14:paraId="3B9515A0"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877 (36.7%)</w:t>
            </w:r>
          </w:p>
        </w:tc>
        <w:tc>
          <w:tcPr>
            <w:tcW w:w="1223" w:type="dxa"/>
            <w:vMerge w:val="restart"/>
            <w:tcBorders>
              <w:top w:val="nil"/>
              <w:left w:val="single" w:sz="4" w:space="0" w:color="auto"/>
              <w:bottom w:val="single" w:sz="4" w:space="0" w:color="auto"/>
              <w:right w:val="single" w:sz="4" w:space="0" w:color="auto"/>
            </w:tcBorders>
            <w:shd w:val="clear" w:color="auto" w:fill="auto"/>
            <w:vAlign w:val="center"/>
            <w:hideMark/>
          </w:tcPr>
          <w:p w14:paraId="616B7496"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681 (28.5%)</w:t>
            </w:r>
          </w:p>
        </w:tc>
        <w:tc>
          <w:tcPr>
            <w:tcW w:w="1249" w:type="dxa"/>
            <w:vMerge w:val="restart"/>
            <w:tcBorders>
              <w:top w:val="nil"/>
              <w:left w:val="single" w:sz="4" w:space="0" w:color="auto"/>
              <w:bottom w:val="single" w:sz="4" w:space="0" w:color="auto"/>
              <w:right w:val="single" w:sz="4" w:space="0" w:color="auto"/>
            </w:tcBorders>
            <w:shd w:val="clear" w:color="auto" w:fill="auto"/>
            <w:vAlign w:val="center"/>
            <w:hideMark/>
          </w:tcPr>
          <w:p w14:paraId="72649A0C"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607 (25.4%)</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hideMark/>
          </w:tcPr>
          <w:p w14:paraId="1876AC5B"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36 (0.15%)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BBEEB6A" w14:textId="77777777" w:rsidR="005712AF" w:rsidRPr="00144D79" w:rsidRDefault="005712AF" w:rsidP="000C6411">
            <w:pPr>
              <w:spacing w:after="0" w:line="240" w:lineRule="auto"/>
              <w:jc w:val="center"/>
              <w:rPr>
                <w:rFonts w:ascii="Garamond" w:eastAsia="Times New Roman" w:hAnsi="Garamond" w:cs="Times New Roman"/>
                <w:color w:val="000000"/>
                <w:lang w:eastAsia="ru-RU"/>
              </w:rPr>
            </w:pPr>
            <w:r w:rsidRPr="00144D79">
              <w:rPr>
                <w:rFonts w:ascii="Garamond" w:eastAsia="Times New Roman" w:hAnsi="Garamond" w:cs="Times New Roman"/>
                <w:color w:val="000000"/>
                <w:lang w:eastAsia="ru-RU"/>
              </w:rPr>
              <w:t>2387</w:t>
            </w:r>
          </w:p>
        </w:tc>
      </w:tr>
      <w:tr w:rsidR="005712AF" w:rsidRPr="00144D79" w14:paraId="6A43114C" w14:textId="77777777" w:rsidTr="000C6411">
        <w:trPr>
          <w:trHeight w:val="476"/>
        </w:trPr>
        <w:tc>
          <w:tcPr>
            <w:tcW w:w="2122" w:type="dxa"/>
            <w:vMerge/>
            <w:tcBorders>
              <w:top w:val="nil"/>
              <w:left w:val="single" w:sz="4" w:space="0" w:color="auto"/>
              <w:bottom w:val="single" w:sz="4" w:space="0" w:color="auto"/>
              <w:right w:val="single" w:sz="4" w:space="0" w:color="auto"/>
            </w:tcBorders>
            <w:vAlign w:val="center"/>
            <w:hideMark/>
          </w:tcPr>
          <w:p w14:paraId="449F5324"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361" w:type="dxa"/>
            <w:vMerge/>
            <w:tcBorders>
              <w:top w:val="nil"/>
              <w:left w:val="single" w:sz="4" w:space="0" w:color="auto"/>
              <w:bottom w:val="single" w:sz="4" w:space="0" w:color="auto"/>
              <w:right w:val="single" w:sz="4" w:space="0" w:color="auto"/>
            </w:tcBorders>
            <w:vAlign w:val="center"/>
            <w:hideMark/>
          </w:tcPr>
          <w:p w14:paraId="2F456399"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223" w:type="dxa"/>
            <w:vMerge/>
            <w:tcBorders>
              <w:top w:val="nil"/>
              <w:left w:val="single" w:sz="4" w:space="0" w:color="auto"/>
              <w:bottom w:val="single" w:sz="4" w:space="0" w:color="auto"/>
              <w:right w:val="single" w:sz="4" w:space="0" w:color="auto"/>
            </w:tcBorders>
            <w:vAlign w:val="center"/>
            <w:hideMark/>
          </w:tcPr>
          <w:p w14:paraId="140A9E0E"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223" w:type="dxa"/>
            <w:vMerge/>
            <w:tcBorders>
              <w:top w:val="nil"/>
              <w:left w:val="single" w:sz="4" w:space="0" w:color="auto"/>
              <w:bottom w:val="single" w:sz="4" w:space="0" w:color="auto"/>
              <w:right w:val="single" w:sz="4" w:space="0" w:color="auto"/>
            </w:tcBorders>
            <w:vAlign w:val="center"/>
            <w:hideMark/>
          </w:tcPr>
          <w:p w14:paraId="765E3EC6"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249" w:type="dxa"/>
            <w:vMerge/>
            <w:tcBorders>
              <w:top w:val="nil"/>
              <w:left w:val="single" w:sz="4" w:space="0" w:color="auto"/>
              <w:bottom w:val="single" w:sz="4" w:space="0" w:color="auto"/>
              <w:right w:val="single" w:sz="4" w:space="0" w:color="auto"/>
            </w:tcBorders>
            <w:vAlign w:val="center"/>
            <w:hideMark/>
          </w:tcPr>
          <w:p w14:paraId="189B1AE8"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188" w:type="dxa"/>
            <w:vMerge/>
            <w:tcBorders>
              <w:top w:val="nil"/>
              <w:left w:val="single" w:sz="4" w:space="0" w:color="auto"/>
              <w:bottom w:val="single" w:sz="4" w:space="0" w:color="auto"/>
              <w:right w:val="single" w:sz="4" w:space="0" w:color="auto"/>
            </w:tcBorders>
            <w:vAlign w:val="center"/>
            <w:hideMark/>
          </w:tcPr>
          <w:p w14:paraId="1163FC31" w14:textId="77777777" w:rsidR="005712AF" w:rsidRPr="00144D79" w:rsidRDefault="005712AF" w:rsidP="000C6411">
            <w:pPr>
              <w:spacing w:after="0" w:line="240" w:lineRule="auto"/>
              <w:rPr>
                <w:rFonts w:ascii="Garamond" w:eastAsia="Times New Roman" w:hAnsi="Garamond" w:cs="Times New Roman"/>
                <w:color w:val="000000"/>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3CEA956" w14:textId="77777777" w:rsidR="005712AF" w:rsidRPr="00144D79" w:rsidRDefault="005712AF" w:rsidP="000C6411">
            <w:pPr>
              <w:spacing w:after="0" w:line="240" w:lineRule="auto"/>
              <w:rPr>
                <w:rFonts w:ascii="Garamond" w:eastAsia="Times New Roman" w:hAnsi="Garamond" w:cs="Times New Roman"/>
                <w:color w:val="000000"/>
                <w:lang w:eastAsia="ru-RU"/>
              </w:rPr>
            </w:pPr>
          </w:p>
        </w:tc>
      </w:tr>
    </w:tbl>
    <w:p w14:paraId="29FB6E45" w14:textId="77777777" w:rsidR="005712AF" w:rsidRDefault="005712AF" w:rsidP="005712AF">
      <w:pPr>
        <w:spacing w:before="120" w:after="0" w:line="360" w:lineRule="auto"/>
        <w:jc w:val="both"/>
        <w:rPr>
          <w:rFonts w:ascii="Garamond" w:eastAsia="Times New Roman" w:hAnsi="Garamond" w:cs="Times New Roman"/>
          <w:bCs/>
          <w:sz w:val="24"/>
          <w:szCs w:val="24"/>
          <w:lang w:val="en-US" w:eastAsia="ru-RU"/>
        </w:rPr>
      </w:pPr>
      <w:r w:rsidRPr="000932BD">
        <w:rPr>
          <w:rFonts w:ascii="Garamond" w:eastAsia="Times New Roman" w:hAnsi="Garamond" w:cs="Times New Roman"/>
          <w:bCs/>
          <w:sz w:val="24"/>
          <w:szCs w:val="24"/>
          <w:lang w:val="en-US" w:eastAsia="ru-RU"/>
        </w:rPr>
        <w:t>Source: Author from ALLBUS 2018</w:t>
      </w:r>
      <w:r>
        <w:rPr>
          <w:rFonts w:ascii="Garamond" w:eastAsia="Times New Roman" w:hAnsi="Garamond" w:cs="Times New Roman"/>
          <w:bCs/>
          <w:sz w:val="24"/>
          <w:szCs w:val="24"/>
          <w:lang w:val="en-US" w:eastAsia="ru-RU"/>
        </w:rPr>
        <w:t xml:space="preserve"> </w:t>
      </w:r>
      <w:r w:rsidRPr="009C49B6">
        <w:rPr>
          <w:rFonts w:ascii="Garamond" w:eastAsia="Times New Roman" w:hAnsi="Garamond" w:cs="Times New Roman"/>
          <w:bCs/>
          <w:sz w:val="24"/>
          <w:szCs w:val="24"/>
          <w:lang w:val="en-US" w:eastAsia="ru-RU"/>
        </w:rPr>
        <w:t>(Bau</w:t>
      </w:r>
      <w:r>
        <w:rPr>
          <w:rFonts w:ascii="Garamond" w:eastAsia="Times New Roman" w:hAnsi="Garamond" w:cs="Times New Roman"/>
          <w:bCs/>
          <w:sz w:val="24"/>
          <w:szCs w:val="24"/>
          <w:lang w:val="en-US" w:eastAsia="ru-RU"/>
        </w:rPr>
        <w:t xml:space="preserve">mann, Schulz, and </w:t>
      </w:r>
      <w:proofErr w:type="spellStart"/>
      <w:r>
        <w:rPr>
          <w:rFonts w:ascii="Garamond" w:eastAsia="Times New Roman" w:hAnsi="Garamond" w:cs="Times New Roman"/>
          <w:bCs/>
          <w:sz w:val="24"/>
          <w:szCs w:val="24"/>
          <w:lang w:val="en-US" w:eastAsia="ru-RU"/>
        </w:rPr>
        <w:t>Thiesen</w:t>
      </w:r>
      <w:proofErr w:type="spellEnd"/>
      <w:r>
        <w:rPr>
          <w:rFonts w:ascii="Garamond" w:eastAsia="Times New Roman" w:hAnsi="Garamond" w:cs="Times New Roman"/>
          <w:bCs/>
          <w:sz w:val="24"/>
          <w:szCs w:val="24"/>
          <w:lang w:val="en-US" w:eastAsia="ru-RU"/>
        </w:rPr>
        <w:t xml:space="preserve"> 2019)</w:t>
      </w:r>
      <w:r w:rsidRPr="000932BD">
        <w:rPr>
          <w:rFonts w:ascii="Garamond" w:eastAsia="Times New Roman" w:hAnsi="Garamond" w:cs="Times New Roman"/>
          <w:bCs/>
          <w:sz w:val="24"/>
          <w:szCs w:val="24"/>
          <w:lang w:val="en-US" w:eastAsia="ru-RU"/>
        </w:rPr>
        <w:t>.</w:t>
      </w:r>
    </w:p>
    <w:p w14:paraId="2DC228DB" w14:textId="77777777" w:rsidR="005712AF" w:rsidRDefault="005712AF" w:rsidP="005712AF">
      <w:pPr>
        <w:spacing w:after="0" w:line="276" w:lineRule="auto"/>
        <w:rPr>
          <w:rFonts w:ascii="Garamond" w:eastAsia="Times New Roman" w:hAnsi="Garamond" w:cs="Times New Roman"/>
          <w:bCs/>
          <w:sz w:val="24"/>
          <w:szCs w:val="24"/>
          <w:lang w:val="en-US" w:eastAsia="ru-RU"/>
        </w:rPr>
      </w:pPr>
    </w:p>
    <w:p w14:paraId="0CA62098" w14:textId="77777777" w:rsidR="005712AF" w:rsidRDefault="005712AF" w:rsidP="005712AF">
      <w:pPr>
        <w:spacing w:after="0" w:line="276" w:lineRule="auto"/>
        <w:rPr>
          <w:rFonts w:ascii="Garamond" w:eastAsia="Times New Roman" w:hAnsi="Garamond" w:cs="Times New Roman"/>
          <w:bCs/>
          <w:sz w:val="24"/>
          <w:szCs w:val="24"/>
          <w:lang w:val="en-US" w:eastAsia="ru-RU"/>
        </w:rPr>
      </w:pPr>
    </w:p>
    <w:p w14:paraId="5C3D2230" w14:textId="77777777" w:rsidR="005712AF" w:rsidRPr="008A03E8" w:rsidRDefault="005712AF" w:rsidP="005712AF">
      <w:pPr>
        <w:spacing w:after="120" w:line="276" w:lineRule="auto"/>
        <w:jc w:val="both"/>
        <w:rPr>
          <w:rFonts w:ascii="Garamond" w:eastAsia="Times New Roman" w:hAnsi="Garamond" w:cs="Times New Roman"/>
          <w:b/>
          <w:bCs/>
          <w:i/>
          <w:sz w:val="24"/>
          <w:szCs w:val="24"/>
          <w:lang w:val="en-US" w:eastAsia="ru-RU"/>
        </w:rPr>
      </w:pPr>
      <w:r w:rsidRPr="008A03E8">
        <w:rPr>
          <w:rFonts w:ascii="Garamond" w:eastAsia="Times New Roman" w:hAnsi="Garamond" w:cs="Times New Roman"/>
          <w:b/>
          <w:bCs/>
          <w:i/>
          <w:sz w:val="24"/>
          <w:szCs w:val="24"/>
          <w:lang w:val="en-US" w:eastAsia="ru-RU"/>
        </w:rPr>
        <w:t>6. Additional regression models: individual’s ideological positioning and Green voting</w:t>
      </w:r>
    </w:p>
    <w:p w14:paraId="30556368" w14:textId="77777777" w:rsidR="005712AF" w:rsidRPr="008D08D0" w:rsidRDefault="005712AF" w:rsidP="005712AF">
      <w:pPr>
        <w:spacing w:before="240" w:after="120" w:line="276" w:lineRule="auto"/>
        <w:jc w:val="both"/>
        <w:rPr>
          <w:rFonts w:ascii="Garamond" w:eastAsia="Times New Roman" w:hAnsi="Garamond" w:cs="Times New Roman"/>
          <w:b/>
          <w:bCs/>
          <w:sz w:val="24"/>
          <w:szCs w:val="24"/>
          <w:lang w:val="en-US" w:eastAsia="ru-RU"/>
        </w:rPr>
      </w:pPr>
      <w:r w:rsidRPr="008D08D0">
        <w:rPr>
          <w:rFonts w:ascii="Garamond" w:eastAsia="Times New Roman" w:hAnsi="Garamond" w:cs="Times New Roman"/>
          <w:b/>
          <w:bCs/>
          <w:sz w:val="24"/>
          <w:szCs w:val="24"/>
          <w:lang w:val="en-US" w:eastAsia="ru-RU"/>
        </w:rPr>
        <w:t>Figure 6.1. Plot of the relationship between respondent’s ideological self-placement and his or her propensity to vote for the Greens for both regional samples</w:t>
      </w:r>
    </w:p>
    <w:p w14:paraId="56D349B2" w14:textId="77777777" w:rsidR="005712AF" w:rsidRPr="007C1B42" w:rsidRDefault="005712AF" w:rsidP="005712AF">
      <w:pPr>
        <w:spacing w:after="120" w:line="276" w:lineRule="auto"/>
        <w:ind w:left="57"/>
        <w:rPr>
          <w:rFonts w:ascii="Garamond" w:eastAsia="Times New Roman" w:hAnsi="Garamond" w:cs="Times New Roman"/>
          <w:bCs/>
          <w:sz w:val="24"/>
          <w:szCs w:val="24"/>
          <w:lang w:val="en-US" w:eastAsia="ru-RU"/>
        </w:rPr>
      </w:pPr>
      <w:r>
        <w:rPr>
          <w:noProof/>
          <w:lang w:eastAsia="ru-RU"/>
        </w:rPr>
        <w:lastRenderedPageBreak/>
        <w:drawing>
          <wp:inline distT="0" distB="0" distL="0" distR="0" wp14:anchorId="273BA0CC" wp14:editId="35948A73">
            <wp:extent cx="5400040" cy="40614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4061460"/>
                    </a:xfrm>
                    <a:prstGeom prst="rect">
                      <a:avLst/>
                    </a:prstGeom>
                  </pic:spPr>
                </pic:pic>
              </a:graphicData>
            </a:graphic>
          </wp:inline>
        </w:drawing>
      </w:r>
    </w:p>
    <w:p w14:paraId="02BF255B" w14:textId="77777777" w:rsidR="005712AF" w:rsidRDefault="005712AF" w:rsidP="005712AF">
      <w:pPr>
        <w:spacing w:after="60" w:line="276" w:lineRule="auto"/>
        <w:jc w:val="both"/>
        <w:rPr>
          <w:rFonts w:ascii="Garamond" w:eastAsia="Times New Roman" w:hAnsi="Garamond" w:cs="Times New Roman"/>
          <w:bCs/>
          <w:sz w:val="24"/>
          <w:szCs w:val="24"/>
          <w:lang w:val="en-US" w:eastAsia="ru-RU"/>
        </w:rPr>
      </w:pPr>
      <w:r w:rsidRPr="00C13F94">
        <w:rPr>
          <w:rFonts w:ascii="Garamond" w:eastAsia="Times New Roman" w:hAnsi="Garamond" w:cs="Times New Roman"/>
          <w:bCs/>
          <w:sz w:val="24"/>
          <w:szCs w:val="24"/>
          <w:lang w:val="en-US" w:eastAsia="ru-RU"/>
        </w:rPr>
        <w:t>Note:</w:t>
      </w:r>
      <w:r>
        <w:rPr>
          <w:rFonts w:ascii="Garamond" w:eastAsia="Times New Roman" w:hAnsi="Garamond" w:cs="Times New Roman"/>
          <w:bCs/>
          <w:sz w:val="24"/>
          <w:szCs w:val="24"/>
          <w:lang w:val="en-US" w:eastAsia="ru-RU"/>
        </w:rPr>
        <w:t xml:space="preserve"> The dashed black line marks the value of Green voting probability equal to five. Grey areas contain 95% confidence intervals.</w:t>
      </w:r>
    </w:p>
    <w:p w14:paraId="7A08D8EA" w14:textId="77777777" w:rsidR="005712AF" w:rsidRDefault="005712AF" w:rsidP="005712AF">
      <w:pPr>
        <w:spacing w:before="120" w:after="0" w:line="276" w:lineRule="auto"/>
        <w:jc w:val="both"/>
        <w:rPr>
          <w:rFonts w:ascii="Garamond" w:eastAsia="Times New Roman" w:hAnsi="Garamond" w:cs="Times New Roman"/>
          <w:bCs/>
          <w:sz w:val="24"/>
          <w:szCs w:val="24"/>
          <w:lang w:val="en-US" w:eastAsia="ru-RU"/>
        </w:rPr>
      </w:pPr>
      <w:r w:rsidRPr="000932BD">
        <w:rPr>
          <w:rFonts w:ascii="Garamond" w:eastAsia="Times New Roman" w:hAnsi="Garamond" w:cs="Times New Roman"/>
          <w:bCs/>
          <w:sz w:val="24"/>
          <w:szCs w:val="24"/>
          <w:lang w:val="en-US" w:eastAsia="ru-RU"/>
        </w:rPr>
        <w:t>Source: Author from AL</w:t>
      </w:r>
      <w:r>
        <w:rPr>
          <w:rFonts w:ascii="Garamond" w:eastAsia="Times New Roman" w:hAnsi="Garamond" w:cs="Times New Roman"/>
          <w:bCs/>
          <w:sz w:val="24"/>
          <w:szCs w:val="24"/>
          <w:lang w:val="en-US" w:eastAsia="ru-RU"/>
        </w:rPr>
        <w:t xml:space="preserve">LBUS 2018 </w:t>
      </w:r>
      <w:r w:rsidRPr="001E59C9">
        <w:rPr>
          <w:rFonts w:ascii="Garamond" w:eastAsia="Times New Roman" w:hAnsi="Garamond" w:cs="Times New Roman"/>
          <w:bCs/>
          <w:sz w:val="24"/>
          <w:szCs w:val="24"/>
          <w:lang w:val="en-US" w:eastAsia="ru-RU"/>
        </w:rPr>
        <w:t xml:space="preserve">(Baumann, Schulz, and </w:t>
      </w:r>
      <w:proofErr w:type="spellStart"/>
      <w:r w:rsidRPr="001E59C9">
        <w:rPr>
          <w:rFonts w:ascii="Garamond" w:eastAsia="Times New Roman" w:hAnsi="Garamond" w:cs="Times New Roman"/>
          <w:bCs/>
          <w:sz w:val="24"/>
          <w:szCs w:val="24"/>
          <w:lang w:val="en-US" w:eastAsia="ru-RU"/>
        </w:rPr>
        <w:t>Thiesen</w:t>
      </w:r>
      <w:proofErr w:type="spellEnd"/>
      <w:r w:rsidRPr="001E59C9">
        <w:rPr>
          <w:rFonts w:ascii="Garamond" w:eastAsia="Times New Roman" w:hAnsi="Garamond" w:cs="Times New Roman"/>
          <w:bCs/>
          <w:sz w:val="24"/>
          <w:szCs w:val="24"/>
          <w:lang w:val="en-US" w:eastAsia="ru-RU"/>
        </w:rPr>
        <w:t xml:space="preserve"> 2019).</w:t>
      </w:r>
    </w:p>
    <w:p w14:paraId="40768671" w14:textId="77777777" w:rsidR="005712AF" w:rsidRPr="00882392" w:rsidRDefault="005712AF" w:rsidP="005712AF">
      <w:pPr>
        <w:spacing w:after="0" w:line="360" w:lineRule="auto"/>
        <w:rPr>
          <w:rFonts w:ascii="Garamond" w:eastAsia="Times New Roman" w:hAnsi="Garamond" w:cs="Times New Roman"/>
          <w:bCs/>
          <w:sz w:val="24"/>
          <w:szCs w:val="24"/>
          <w:lang w:val="en-US" w:eastAsia="ru-RU"/>
        </w:rPr>
      </w:pPr>
    </w:p>
    <w:p w14:paraId="1E106A28" w14:textId="77777777" w:rsidR="00ED6DEA" w:rsidRPr="005712AF" w:rsidRDefault="00ED6DEA">
      <w:pPr>
        <w:rPr>
          <w:lang w:val="en-US"/>
        </w:rPr>
      </w:pPr>
    </w:p>
    <w:sectPr w:rsidR="00ED6DEA" w:rsidRPr="005712AF" w:rsidSect="000C6411">
      <w:footerReference w:type="default" r:id="rId1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C79DC" w14:textId="77777777" w:rsidR="003F61E7" w:rsidRDefault="003F61E7" w:rsidP="005712AF">
      <w:pPr>
        <w:spacing w:after="0" w:line="240" w:lineRule="auto"/>
      </w:pPr>
      <w:r>
        <w:separator/>
      </w:r>
    </w:p>
  </w:endnote>
  <w:endnote w:type="continuationSeparator" w:id="0">
    <w:p w14:paraId="3B9D6236" w14:textId="77777777" w:rsidR="003F61E7" w:rsidRDefault="003F61E7" w:rsidP="0057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518645"/>
      <w:docPartObj>
        <w:docPartGallery w:val="Page Numbers (Bottom of Page)"/>
        <w:docPartUnique/>
      </w:docPartObj>
    </w:sdtPr>
    <w:sdtEndPr>
      <w:rPr>
        <w:rFonts w:ascii="Garamond" w:hAnsi="Garamond"/>
      </w:rPr>
    </w:sdtEndPr>
    <w:sdtContent>
      <w:p w14:paraId="429E96D9" w14:textId="66CFC6A6" w:rsidR="000C6411" w:rsidRPr="00D15178" w:rsidRDefault="00D15178" w:rsidP="00D15178">
        <w:pPr>
          <w:pStyle w:val="Pta"/>
          <w:jc w:val="center"/>
          <w:rPr>
            <w:rFonts w:ascii="Garamond" w:hAnsi="Garamond"/>
          </w:rPr>
        </w:pPr>
        <w:r w:rsidRPr="00D15178">
          <w:rPr>
            <w:rFonts w:ascii="Garamond" w:hAnsi="Garamond"/>
          </w:rPr>
          <w:fldChar w:fldCharType="begin"/>
        </w:r>
        <w:r w:rsidRPr="00D15178">
          <w:rPr>
            <w:rFonts w:ascii="Garamond" w:hAnsi="Garamond"/>
          </w:rPr>
          <w:instrText>PAGE   \* MERGEFORMAT</w:instrText>
        </w:r>
        <w:r w:rsidRPr="00D15178">
          <w:rPr>
            <w:rFonts w:ascii="Garamond" w:hAnsi="Garamond"/>
          </w:rPr>
          <w:fldChar w:fldCharType="separate"/>
        </w:r>
        <w:r w:rsidRPr="00D15178">
          <w:rPr>
            <w:rFonts w:ascii="Garamond" w:hAnsi="Garamond"/>
            <w:lang w:val="sk-SK"/>
          </w:rPr>
          <w:t>2</w:t>
        </w:r>
        <w:r w:rsidRPr="00D15178">
          <w:rPr>
            <w:rFonts w:ascii="Garamond" w:hAnsi="Garamond"/>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AF24B" w14:textId="77777777" w:rsidR="003F61E7" w:rsidRDefault="003F61E7" w:rsidP="005712AF">
      <w:pPr>
        <w:spacing w:after="0" w:line="240" w:lineRule="auto"/>
      </w:pPr>
      <w:r>
        <w:separator/>
      </w:r>
    </w:p>
  </w:footnote>
  <w:footnote w:type="continuationSeparator" w:id="0">
    <w:p w14:paraId="3E1B880F" w14:textId="77777777" w:rsidR="003F61E7" w:rsidRDefault="003F61E7" w:rsidP="005712AF">
      <w:pPr>
        <w:spacing w:after="0" w:line="240" w:lineRule="auto"/>
      </w:pPr>
      <w:r>
        <w:continuationSeparator/>
      </w:r>
    </w:p>
  </w:footnote>
  <w:footnote w:id="1">
    <w:p w14:paraId="6DE1EB88" w14:textId="77777777" w:rsidR="000C6411" w:rsidRPr="00140DA3" w:rsidRDefault="000C6411" w:rsidP="005712AF">
      <w:pPr>
        <w:spacing w:after="0" w:line="276" w:lineRule="auto"/>
        <w:jc w:val="both"/>
        <w:rPr>
          <w:rFonts w:ascii="Garamond" w:hAnsi="Garamond" w:cs="Times New Roman"/>
          <w:sz w:val="20"/>
          <w:szCs w:val="20"/>
          <w:lang w:val="en-US"/>
        </w:rPr>
      </w:pPr>
      <w:r w:rsidRPr="00140DA3">
        <w:rPr>
          <w:rStyle w:val="Odkaznapoznmkupodiarou"/>
          <w:rFonts w:ascii="Garamond" w:hAnsi="Garamond"/>
          <w:sz w:val="20"/>
          <w:szCs w:val="20"/>
        </w:rPr>
        <w:footnoteRef/>
      </w:r>
      <w:r w:rsidRPr="00140DA3">
        <w:rPr>
          <w:rFonts w:ascii="Garamond" w:hAnsi="Garamond" w:cs="Times New Roman"/>
          <w:sz w:val="20"/>
          <w:szCs w:val="20"/>
          <w:lang w:val="en-US"/>
        </w:rPr>
        <w:t xml:space="preserve"> Due to the historical specifics of the city of Berlin and absence of information about Eastern or Western Berlin residence of respondents in the ALLBUS 2018 data, results of the Green Party there (19.1 and 27.8 percent in 2014 and 2019 respectively) are not included in neither of the tables.</w:t>
      </w:r>
    </w:p>
    <w:p w14:paraId="0F15AA0F" w14:textId="77777777" w:rsidR="000C6411" w:rsidRPr="00140DA3" w:rsidRDefault="000C6411" w:rsidP="005712AF">
      <w:pPr>
        <w:pStyle w:val="Textpoznmkypodiarou"/>
        <w:jc w:val="both"/>
        <w:rPr>
          <w:rFonts w:ascii="Garamond" w:hAnsi="Garamond"/>
          <w:lang w:val="en-US"/>
        </w:rPr>
      </w:pPr>
    </w:p>
  </w:footnote>
  <w:footnote w:id="2">
    <w:p w14:paraId="54BB3202" w14:textId="363B7E87" w:rsidR="000C6411" w:rsidRPr="00140DA3" w:rsidRDefault="000C6411" w:rsidP="005712AF">
      <w:pPr>
        <w:pStyle w:val="Textpoznmkypodiarou"/>
        <w:jc w:val="both"/>
        <w:rPr>
          <w:rFonts w:ascii="Garamond" w:hAnsi="Garamond"/>
          <w:lang w:val="en-US"/>
        </w:rPr>
      </w:pPr>
      <w:r w:rsidRPr="00140DA3">
        <w:rPr>
          <w:rStyle w:val="Odkaznapoznmkupodiarou"/>
          <w:rFonts w:ascii="Garamond" w:hAnsi="Garamond"/>
        </w:rPr>
        <w:footnoteRef/>
      </w:r>
      <w:r w:rsidRPr="00140DA3">
        <w:rPr>
          <w:rFonts w:ascii="Garamond" w:hAnsi="Garamond"/>
          <w:lang w:val="en-US"/>
        </w:rPr>
        <w:t xml:space="preserve">  </w:t>
      </w:r>
      <w:r w:rsidRPr="00140DA3">
        <w:rPr>
          <w:rFonts w:ascii="Garamond" w:hAnsi="Garamond" w:cs="Times New Roman"/>
          <w:i/>
          <w:lang w:val="en-US"/>
        </w:rPr>
        <w:t>Age</w:t>
      </w:r>
      <w:r w:rsidRPr="00140DA3">
        <w:rPr>
          <w:rFonts w:ascii="Garamond" w:hAnsi="Garamond" w:cs="Times New Roman"/>
          <w:lang w:val="en-US"/>
        </w:rPr>
        <w:t xml:space="preserve"> - “NSM” generation is specified </w:t>
      </w:r>
      <w:r w:rsidRPr="00140DA3">
        <w:rPr>
          <w:rFonts w:ascii="Garamond" w:hAnsi="Garamond" w:cs="Times New Roman"/>
          <w:color w:val="000000" w:themeColor="text1"/>
          <w:lang w:val="en-US"/>
        </w:rPr>
        <w:t>for Western sample solely</w:t>
      </w:r>
      <w:r w:rsidRPr="00140DA3">
        <w:rPr>
          <w:rFonts w:ascii="Garamond" w:hAnsi="Garamond"/>
          <w:lang w:val="en-US"/>
        </w:rPr>
        <w:t xml:space="preserve">, </w:t>
      </w:r>
      <w:r w:rsidRPr="00140DA3">
        <w:rPr>
          <w:rFonts w:ascii="Garamond" w:hAnsi="Garamond" w:cs="Times New Roman"/>
          <w:i/>
          <w:color w:val="000000" w:themeColor="text1"/>
          <w:lang w:val="en-US"/>
        </w:rPr>
        <w:t>White collars</w:t>
      </w:r>
      <w:r w:rsidRPr="00140DA3">
        <w:rPr>
          <w:rFonts w:ascii="Garamond" w:hAnsi="Garamond" w:cs="Times New Roman"/>
          <w:color w:val="000000" w:themeColor="text1"/>
          <w:lang w:val="en-US"/>
        </w:rPr>
        <w:t xml:space="preserve"> - managerial or administrative staff; </w:t>
      </w:r>
      <w:r w:rsidRPr="00140DA3">
        <w:rPr>
          <w:rFonts w:ascii="Garamond" w:hAnsi="Garamond" w:cs="Times New Roman"/>
          <w:i/>
          <w:color w:val="000000" w:themeColor="text1"/>
          <w:lang w:val="en-US"/>
        </w:rPr>
        <w:t>Grey collars</w:t>
      </w:r>
      <w:r w:rsidRPr="00140DA3">
        <w:rPr>
          <w:rFonts w:ascii="Garamond" w:hAnsi="Garamond" w:cs="Times New Roman"/>
          <w:color w:val="000000" w:themeColor="text1"/>
          <w:lang w:val="en-US"/>
        </w:rPr>
        <w:t xml:space="preserve"> - employees of service sector</w:t>
      </w:r>
      <w:r w:rsidRPr="00140DA3">
        <w:rPr>
          <w:rFonts w:ascii="Garamond" w:hAnsi="Garamond"/>
          <w:lang w:val="en-US"/>
        </w:rPr>
        <w:t xml:space="preserve">, </w:t>
      </w:r>
      <w:r w:rsidRPr="00140DA3">
        <w:rPr>
          <w:rFonts w:ascii="Garamond" w:hAnsi="Garamond" w:cs="Times New Roman"/>
          <w:i/>
          <w:lang w:val="en-US"/>
        </w:rPr>
        <w:t>Higher education</w:t>
      </w:r>
      <w:r w:rsidRPr="00140DA3">
        <w:rPr>
          <w:rFonts w:ascii="Garamond" w:hAnsi="Garamond" w:cs="Times New Roman"/>
          <w:lang w:val="en-US"/>
        </w:rPr>
        <w:t xml:space="preserve"> - educational categories presented in accordance with</w:t>
      </w:r>
      <w:r w:rsidRPr="00140DA3">
        <w:rPr>
          <w:rFonts w:ascii="Garamond" w:hAnsi="Garamond"/>
          <w:lang w:val="en-US"/>
        </w:rPr>
        <w:t xml:space="preserve"> </w:t>
      </w:r>
      <w:r w:rsidRPr="00140DA3">
        <w:rPr>
          <w:rFonts w:ascii="Garamond" w:hAnsi="Garamond" w:cs="Times New Roman"/>
          <w:lang w:val="en-US"/>
        </w:rPr>
        <w:t>2011 International Standard Classification of Education (ISCED).</w:t>
      </w:r>
    </w:p>
  </w:footnote>
  <w:footnote w:id="3">
    <w:p w14:paraId="2C7A6566" w14:textId="77777777" w:rsidR="000C6411" w:rsidRPr="00140DA3" w:rsidRDefault="000C6411" w:rsidP="005712AF">
      <w:pPr>
        <w:pStyle w:val="Textpoznmkypodiarou"/>
        <w:jc w:val="both"/>
        <w:rPr>
          <w:rFonts w:ascii="Garamond" w:hAnsi="Garamond"/>
          <w:lang w:val="en-US"/>
        </w:rPr>
      </w:pPr>
      <w:r w:rsidRPr="00140DA3">
        <w:rPr>
          <w:rStyle w:val="Odkaznapoznmkupodiarou"/>
          <w:rFonts w:ascii="Garamond" w:hAnsi="Garamond"/>
        </w:rPr>
        <w:footnoteRef/>
      </w:r>
      <w:r w:rsidRPr="00140DA3">
        <w:rPr>
          <w:rFonts w:ascii="Garamond" w:hAnsi="Garamond"/>
          <w:lang w:val="en-US"/>
        </w:rPr>
        <w:t xml:space="preserve"> Higher education is identified with </w:t>
      </w:r>
      <w:r w:rsidRPr="00140DA3">
        <w:rPr>
          <w:rFonts w:ascii="Garamond" w:eastAsia="Times New Roman" w:hAnsi="Garamond" w:cs="Times New Roman"/>
          <w:color w:val="000000"/>
          <w:lang w:val="en-US" w:eastAsia="ru-RU"/>
        </w:rPr>
        <w:t>short cycle tertiary and higher degree.</w:t>
      </w:r>
      <w:r w:rsidRPr="00140DA3">
        <w:rPr>
          <w:rFonts w:ascii="Garamond" w:hAnsi="Garamond"/>
          <w:color w:val="000000" w:themeColor="text1"/>
          <w:lang w:val="en-US"/>
        </w:rPr>
        <w:t xml:space="preserve"> Reference category – all other educational levels and people without any education. </w:t>
      </w:r>
    </w:p>
  </w:footnote>
  <w:footnote w:id="4">
    <w:p w14:paraId="6E90B864" w14:textId="77777777" w:rsidR="000C6411" w:rsidRPr="00140DA3" w:rsidRDefault="000C6411" w:rsidP="005712AF">
      <w:pPr>
        <w:pStyle w:val="Textpoznmkypodiarou"/>
        <w:jc w:val="both"/>
        <w:rPr>
          <w:rFonts w:ascii="Garamond" w:hAnsi="Garamond"/>
          <w:lang w:val="en-US"/>
        </w:rPr>
      </w:pPr>
      <w:r w:rsidRPr="00140DA3">
        <w:rPr>
          <w:rStyle w:val="Odkaznapoznmkupodiarou"/>
          <w:rFonts w:ascii="Garamond" w:hAnsi="Garamond"/>
        </w:rPr>
        <w:footnoteRef/>
      </w:r>
      <w:r w:rsidRPr="00140DA3">
        <w:rPr>
          <w:rFonts w:ascii="Garamond" w:hAnsi="Garamond"/>
          <w:lang w:val="en-US"/>
        </w:rPr>
        <w:t xml:space="preserve"> Reference category – all other age categories.</w:t>
      </w:r>
    </w:p>
  </w:footnote>
  <w:footnote w:id="5">
    <w:p w14:paraId="40FED953" w14:textId="77777777" w:rsidR="000C6411" w:rsidRPr="00140DA3" w:rsidRDefault="000C6411" w:rsidP="005712AF">
      <w:pPr>
        <w:pStyle w:val="Textpoznmkypodiarou"/>
        <w:jc w:val="both"/>
        <w:rPr>
          <w:rFonts w:ascii="Garamond" w:hAnsi="Garamond"/>
          <w:lang w:val="en-US"/>
        </w:rPr>
      </w:pPr>
      <w:r w:rsidRPr="00140DA3">
        <w:rPr>
          <w:rStyle w:val="Odkaznapoznmkupodiarou"/>
          <w:rFonts w:ascii="Garamond" w:hAnsi="Garamond"/>
        </w:rPr>
        <w:footnoteRef/>
      </w:r>
      <w:r w:rsidRPr="00140DA3">
        <w:rPr>
          <w:rFonts w:ascii="Garamond" w:hAnsi="Garamond"/>
          <w:lang w:val="en-US"/>
        </w:rPr>
        <w:t xml:space="preserve"> Reference category – all other occupational groups and retired people.</w:t>
      </w:r>
    </w:p>
  </w:footnote>
  <w:footnote w:id="6">
    <w:p w14:paraId="49FC284B" w14:textId="77777777" w:rsidR="000C6411" w:rsidRPr="00140DA3" w:rsidRDefault="000C6411" w:rsidP="005712AF">
      <w:pPr>
        <w:pStyle w:val="Textpoznmkypodiarou"/>
        <w:jc w:val="both"/>
        <w:rPr>
          <w:rFonts w:ascii="Garamond" w:hAnsi="Garamond"/>
          <w:lang w:val="en-US"/>
        </w:rPr>
      </w:pPr>
      <w:r w:rsidRPr="00140DA3">
        <w:rPr>
          <w:rStyle w:val="Odkaznapoznmkupodiarou"/>
          <w:rFonts w:ascii="Garamond" w:hAnsi="Garamond"/>
        </w:rPr>
        <w:footnoteRef/>
      </w:r>
      <w:r w:rsidRPr="00140DA3">
        <w:rPr>
          <w:rFonts w:ascii="Garamond" w:hAnsi="Garamond"/>
          <w:lang w:val="en-US"/>
        </w:rPr>
        <w:t xml:space="preserve"> </w:t>
      </w:r>
      <w:r w:rsidRPr="00140DA3">
        <w:rPr>
          <w:rFonts w:ascii="Garamond" w:hAnsi="Garamond" w:cs="Times New Roman"/>
          <w:lang w:val="en-US"/>
        </w:rPr>
        <w:t xml:space="preserve">Party identification could be assessed only for 45% of interviewees, whereas 1566 people </w:t>
      </w:r>
      <w:r w:rsidRPr="00140DA3">
        <w:rPr>
          <w:rFonts w:ascii="Garamond" w:hAnsi="Garamond" w:cs="Times New Roman"/>
          <w:color w:val="000000" w:themeColor="text1"/>
          <w:lang w:val="en-US"/>
        </w:rPr>
        <w:t xml:space="preserve">do not incline towards any political party </w:t>
      </w:r>
      <w:r w:rsidRPr="00140DA3">
        <w:rPr>
          <w:rFonts w:ascii="Garamond" w:hAnsi="Garamond" w:cs="Times New Roman"/>
          <w:lang w:val="en-US"/>
        </w:rPr>
        <w:t>in Germany (</w:t>
      </w:r>
      <w:r w:rsidRPr="00140DA3">
        <w:rPr>
          <w:rFonts w:ascii="Garamond" w:hAnsi="Garamond" w:cs="Times New Roman"/>
          <w:color w:val="000000" w:themeColor="text1"/>
          <w:lang w:val="en-US"/>
        </w:rPr>
        <w:t>for East and West Germany it is 53.7% and 41% respectively).</w:t>
      </w:r>
    </w:p>
  </w:footnote>
  <w:footnote w:id="7">
    <w:p w14:paraId="69A29664" w14:textId="77777777" w:rsidR="000C6411" w:rsidRPr="00140DA3" w:rsidRDefault="000C6411" w:rsidP="005712AF">
      <w:pPr>
        <w:pStyle w:val="Textpoznmkypodiarou"/>
        <w:jc w:val="both"/>
        <w:rPr>
          <w:rFonts w:ascii="Garamond" w:hAnsi="Garamond"/>
          <w:lang w:val="en-US"/>
        </w:rPr>
      </w:pPr>
      <w:r w:rsidRPr="00140DA3">
        <w:rPr>
          <w:rStyle w:val="Odkaznapoznmkupodiarou"/>
          <w:rFonts w:ascii="Garamond" w:hAnsi="Garamond"/>
        </w:rPr>
        <w:footnoteRef/>
      </w:r>
      <w:r w:rsidRPr="00140DA3">
        <w:rPr>
          <w:rFonts w:ascii="Garamond" w:hAnsi="Garamond"/>
          <w:lang w:val="en-US"/>
        </w:rPr>
        <w:t xml:space="preserve"> Reference category – people of other party identification and those without any party ID. Question asked: “Many people in the Federal Republic tend towards a certain political party for a long time, although they do occasionally to choose another party. How is it with you: Generally speaking, do you lean towards a particular party? Please tell me which party it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5E55"/>
    <w:multiLevelType w:val="hybridMultilevel"/>
    <w:tmpl w:val="00121C5A"/>
    <w:lvl w:ilvl="0" w:tplc="9A509802">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1547B"/>
    <w:multiLevelType w:val="multilevel"/>
    <w:tmpl w:val="500EA0BE"/>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160" w:hanging="72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 w15:restartNumberingAfterBreak="0">
    <w:nsid w:val="064F3F28"/>
    <w:multiLevelType w:val="hybridMultilevel"/>
    <w:tmpl w:val="DA3A8C1A"/>
    <w:lvl w:ilvl="0" w:tplc="4F76BFBA">
      <w:start w:val="3"/>
      <w:numFmt w:val="lowerLetter"/>
      <w:suff w:val="nothing"/>
      <w:lvlText w:val="%1)"/>
      <w:lvlJc w:val="left"/>
      <w:pPr>
        <w:ind w:left="720" w:hanging="360"/>
      </w:pPr>
      <w:rPr>
        <w:rFonts w:hint="default"/>
        <w:color w:val="FFFFFF" w:themeColor="background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A0047DE"/>
    <w:multiLevelType w:val="multilevel"/>
    <w:tmpl w:val="999A12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6616EB"/>
    <w:multiLevelType w:val="hybridMultilevel"/>
    <w:tmpl w:val="8E1E89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5290B"/>
    <w:multiLevelType w:val="hybridMultilevel"/>
    <w:tmpl w:val="88BAB288"/>
    <w:lvl w:ilvl="0" w:tplc="E9E4651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D51DAE"/>
    <w:multiLevelType w:val="multilevel"/>
    <w:tmpl w:val="C10223E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7" w15:restartNumberingAfterBreak="0">
    <w:nsid w:val="1B3163B9"/>
    <w:multiLevelType w:val="hybridMultilevel"/>
    <w:tmpl w:val="07C442CA"/>
    <w:lvl w:ilvl="0" w:tplc="E3B2A7AC">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BDB55B6"/>
    <w:multiLevelType w:val="hybridMultilevel"/>
    <w:tmpl w:val="BB42749A"/>
    <w:lvl w:ilvl="0" w:tplc="E564D886">
      <w:start w:val="1"/>
      <w:numFmt w:val="bullet"/>
      <w:lvlText w:val="−"/>
      <w:lvlJc w:val="left"/>
      <w:pPr>
        <w:ind w:left="1428" w:hanging="360"/>
      </w:pPr>
      <w:rPr>
        <w:rFonts w:ascii="Arial" w:hAnsi="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660F2C"/>
    <w:multiLevelType w:val="hybridMultilevel"/>
    <w:tmpl w:val="6C00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5257C3"/>
    <w:multiLevelType w:val="multilevel"/>
    <w:tmpl w:val="2D8A865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5B0ED9"/>
    <w:multiLevelType w:val="multilevel"/>
    <w:tmpl w:val="A4446D60"/>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1AD0059"/>
    <w:multiLevelType w:val="multilevel"/>
    <w:tmpl w:val="F38E1A2A"/>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3" w15:restartNumberingAfterBreak="0">
    <w:nsid w:val="31FC5A08"/>
    <w:multiLevelType w:val="hybridMultilevel"/>
    <w:tmpl w:val="274E4214"/>
    <w:lvl w:ilvl="0" w:tplc="7CD4418C">
      <w:start w:val="1"/>
      <w:numFmt w:val="lowerLetter"/>
      <w:suff w:val="nothing"/>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2E10C31"/>
    <w:multiLevelType w:val="hybridMultilevel"/>
    <w:tmpl w:val="C07E231C"/>
    <w:lvl w:ilvl="0" w:tplc="7FC2C1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F872FF"/>
    <w:multiLevelType w:val="hybridMultilevel"/>
    <w:tmpl w:val="EF506126"/>
    <w:lvl w:ilvl="0" w:tplc="47AAB580">
      <w:start w:val="1"/>
      <w:numFmt w:val="lowerLetter"/>
      <w:lvlText w:val="%1)"/>
      <w:lvlJc w:val="left"/>
      <w:pPr>
        <w:ind w:left="720" w:hanging="360"/>
      </w:pPr>
      <w:rPr>
        <w:rFonts w:ascii="Garamond" w:hAnsi="Garamond"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2D7E10"/>
    <w:multiLevelType w:val="hybridMultilevel"/>
    <w:tmpl w:val="49862E12"/>
    <w:lvl w:ilvl="0" w:tplc="7FC2C1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5302C0"/>
    <w:multiLevelType w:val="multilevel"/>
    <w:tmpl w:val="54747E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F321D2"/>
    <w:multiLevelType w:val="multilevel"/>
    <w:tmpl w:val="4A5AD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E14A46"/>
    <w:multiLevelType w:val="multilevel"/>
    <w:tmpl w:val="6BA285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0C27E4"/>
    <w:multiLevelType w:val="multilevel"/>
    <w:tmpl w:val="79E01A52"/>
    <w:lvl w:ilvl="0">
      <w:start w:val="1"/>
      <w:numFmt w:val="decimal"/>
      <w:lvlText w:val="%1."/>
      <w:lvlJc w:val="left"/>
      <w:pPr>
        <w:ind w:left="4896" w:hanging="360"/>
      </w:pPr>
      <w:rPr>
        <w:rFonts w:ascii="Garamond" w:eastAsiaTheme="minorHAnsi" w:hAnsi="Garamond" w:cs="Times New Roman"/>
      </w:rPr>
    </w:lvl>
    <w:lvl w:ilvl="1">
      <w:start w:val="1"/>
      <w:numFmt w:val="decimal"/>
      <w:isLgl/>
      <w:lvlText w:val="%1.%2."/>
      <w:lvlJc w:val="left"/>
      <w:pPr>
        <w:ind w:left="1636" w:hanging="360"/>
      </w:pPr>
      <w:rPr>
        <w:rFonts w:hint="default"/>
        <w:color w:val="000000" w:themeColor="text1"/>
      </w:rPr>
    </w:lvl>
    <w:lvl w:ilvl="2">
      <w:start w:val="1"/>
      <w:numFmt w:val="decimal"/>
      <w:isLgl/>
      <w:lvlText w:val="%1.%2.%3."/>
      <w:lvlJc w:val="left"/>
      <w:pPr>
        <w:ind w:left="2520" w:hanging="720"/>
      </w:pPr>
      <w:rPr>
        <w:rFonts w:hint="default"/>
        <w:color w:val="000000" w:themeColor="text1"/>
      </w:rPr>
    </w:lvl>
    <w:lvl w:ilvl="3">
      <w:start w:val="1"/>
      <w:numFmt w:val="decimal"/>
      <w:isLgl/>
      <w:lvlText w:val="%1.%2.%3.%4."/>
      <w:lvlJc w:val="left"/>
      <w:pPr>
        <w:ind w:left="3240" w:hanging="720"/>
      </w:pPr>
      <w:rPr>
        <w:rFonts w:hint="default"/>
        <w:color w:val="000000" w:themeColor="text1"/>
      </w:rPr>
    </w:lvl>
    <w:lvl w:ilvl="4">
      <w:start w:val="1"/>
      <w:numFmt w:val="decimal"/>
      <w:isLgl/>
      <w:lvlText w:val="%1.%2.%3.%4.%5."/>
      <w:lvlJc w:val="left"/>
      <w:pPr>
        <w:ind w:left="4320" w:hanging="1080"/>
      </w:pPr>
      <w:rPr>
        <w:rFonts w:hint="default"/>
        <w:color w:val="000000" w:themeColor="text1"/>
      </w:rPr>
    </w:lvl>
    <w:lvl w:ilvl="5">
      <w:start w:val="1"/>
      <w:numFmt w:val="decimal"/>
      <w:isLgl/>
      <w:lvlText w:val="%1.%2.%3.%4.%5.%6."/>
      <w:lvlJc w:val="left"/>
      <w:pPr>
        <w:ind w:left="5040" w:hanging="1080"/>
      </w:pPr>
      <w:rPr>
        <w:rFonts w:hint="default"/>
        <w:color w:val="000000" w:themeColor="text1"/>
      </w:rPr>
    </w:lvl>
    <w:lvl w:ilvl="6">
      <w:start w:val="1"/>
      <w:numFmt w:val="decimal"/>
      <w:isLgl/>
      <w:lvlText w:val="%1.%2.%3.%4.%5.%6.%7."/>
      <w:lvlJc w:val="left"/>
      <w:pPr>
        <w:ind w:left="6120" w:hanging="1440"/>
      </w:pPr>
      <w:rPr>
        <w:rFonts w:hint="default"/>
        <w:color w:val="000000" w:themeColor="text1"/>
      </w:rPr>
    </w:lvl>
    <w:lvl w:ilvl="7">
      <w:start w:val="1"/>
      <w:numFmt w:val="decimal"/>
      <w:isLgl/>
      <w:lvlText w:val="%1.%2.%3.%4.%5.%6.%7.%8."/>
      <w:lvlJc w:val="left"/>
      <w:pPr>
        <w:ind w:left="6840" w:hanging="1440"/>
      </w:pPr>
      <w:rPr>
        <w:rFonts w:hint="default"/>
        <w:color w:val="000000" w:themeColor="text1"/>
      </w:rPr>
    </w:lvl>
    <w:lvl w:ilvl="8">
      <w:start w:val="1"/>
      <w:numFmt w:val="decimal"/>
      <w:isLgl/>
      <w:lvlText w:val="%1.%2.%3.%4.%5.%6.%7.%8.%9."/>
      <w:lvlJc w:val="left"/>
      <w:pPr>
        <w:ind w:left="7920" w:hanging="1800"/>
      </w:pPr>
      <w:rPr>
        <w:rFonts w:hint="default"/>
        <w:color w:val="000000" w:themeColor="text1"/>
      </w:rPr>
    </w:lvl>
  </w:abstractNum>
  <w:abstractNum w:abstractNumId="21" w15:restartNumberingAfterBreak="0">
    <w:nsid w:val="46B670D9"/>
    <w:multiLevelType w:val="hybridMultilevel"/>
    <w:tmpl w:val="4AEA5B50"/>
    <w:lvl w:ilvl="0" w:tplc="C68EC63A">
      <w:start w:val="1"/>
      <w:numFmt w:val="bullet"/>
      <w:lvlText w:val="-"/>
      <w:lvlJc w:val="left"/>
      <w:pPr>
        <w:ind w:left="720" w:hanging="360"/>
      </w:pPr>
      <w:rPr>
        <w:rFonts w:ascii="Garamond" w:eastAsiaTheme="minorHAnsi" w:hAnsi="Garamon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5F5867"/>
    <w:multiLevelType w:val="hybridMultilevel"/>
    <w:tmpl w:val="A748051E"/>
    <w:lvl w:ilvl="0" w:tplc="A46065C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F03EAC"/>
    <w:multiLevelType w:val="hybridMultilevel"/>
    <w:tmpl w:val="23641DA6"/>
    <w:lvl w:ilvl="0" w:tplc="C0228B08">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0D66CB9"/>
    <w:multiLevelType w:val="hybridMultilevel"/>
    <w:tmpl w:val="5D7E2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FE4E5B"/>
    <w:multiLevelType w:val="hybridMultilevel"/>
    <w:tmpl w:val="732A9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6028AA"/>
    <w:multiLevelType w:val="hybridMultilevel"/>
    <w:tmpl w:val="8A3A7AA0"/>
    <w:lvl w:ilvl="0" w:tplc="E564D886">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86A1F15"/>
    <w:multiLevelType w:val="multilevel"/>
    <w:tmpl w:val="279AA96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0D7CE7"/>
    <w:multiLevelType w:val="hybridMultilevel"/>
    <w:tmpl w:val="91D4FE1E"/>
    <w:lvl w:ilvl="0" w:tplc="EE4691B0">
      <w:start w:val="1"/>
      <w:numFmt w:val="lowerLetter"/>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CD1A02"/>
    <w:multiLevelType w:val="hybridMultilevel"/>
    <w:tmpl w:val="089EE0B8"/>
    <w:lvl w:ilvl="0" w:tplc="0FF4759A">
      <w:start w:val="1"/>
      <w:numFmt w:val="bullet"/>
      <w:lvlText w:val="-"/>
      <w:lvlJc w:val="left"/>
      <w:pPr>
        <w:ind w:left="1068" w:hanging="360"/>
      </w:pPr>
      <w:rPr>
        <w:rFonts w:ascii="Garamond" w:eastAsia="Times New Roman" w:hAnsi="Garamond"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6ACB2F98"/>
    <w:multiLevelType w:val="hybridMultilevel"/>
    <w:tmpl w:val="8F2610FA"/>
    <w:lvl w:ilvl="0" w:tplc="2968DE66">
      <w:start w:val="1"/>
      <w:numFmt w:val="lowerLetter"/>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1" w15:restartNumberingAfterBreak="0">
    <w:nsid w:val="73E73650"/>
    <w:multiLevelType w:val="hybridMultilevel"/>
    <w:tmpl w:val="C0809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3"/>
  </w:num>
  <w:num w:numId="4">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7"/>
  </w:num>
  <w:num w:numId="7">
    <w:abstractNumId w:val="10"/>
  </w:num>
  <w:num w:numId="8">
    <w:abstractNumId w:val="18"/>
  </w:num>
  <w:num w:numId="9">
    <w:abstractNumId w:val="22"/>
  </w:num>
  <w:num w:numId="10">
    <w:abstractNumId w:val="24"/>
  </w:num>
  <w:num w:numId="11">
    <w:abstractNumId w:val="17"/>
  </w:num>
  <w:num w:numId="12">
    <w:abstractNumId w:val="31"/>
  </w:num>
  <w:num w:numId="13">
    <w:abstractNumId w:val="20"/>
  </w:num>
  <w:num w:numId="14">
    <w:abstractNumId w:val="25"/>
  </w:num>
  <w:num w:numId="15">
    <w:abstractNumId w:val="14"/>
  </w:num>
  <w:num w:numId="16">
    <w:abstractNumId w:val="16"/>
  </w:num>
  <w:num w:numId="17">
    <w:abstractNumId w:val="1"/>
  </w:num>
  <w:num w:numId="18">
    <w:abstractNumId w:val="12"/>
  </w:num>
  <w:num w:numId="19">
    <w:abstractNumId w:val="6"/>
  </w:num>
  <w:num w:numId="20">
    <w:abstractNumId w:val="0"/>
  </w:num>
  <w:num w:numId="21">
    <w:abstractNumId w:val="26"/>
  </w:num>
  <w:num w:numId="22">
    <w:abstractNumId w:val="21"/>
  </w:num>
  <w:num w:numId="23">
    <w:abstractNumId w:val="15"/>
  </w:num>
  <w:num w:numId="24">
    <w:abstractNumId w:val="13"/>
  </w:num>
  <w:num w:numId="25">
    <w:abstractNumId w:val="5"/>
  </w:num>
  <w:num w:numId="26">
    <w:abstractNumId w:val="2"/>
  </w:num>
  <w:num w:numId="27">
    <w:abstractNumId w:val="28"/>
  </w:num>
  <w:num w:numId="28">
    <w:abstractNumId w:val="4"/>
  </w:num>
  <w:num w:numId="29">
    <w:abstractNumId w:val="30"/>
  </w:num>
  <w:num w:numId="30">
    <w:abstractNumId w:val="29"/>
  </w:num>
  <w:num w:numId="31">
    <w:abstractNumId w:val="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en-US" w:vendorID="64" w:dllVersion="6" w:nlCheck="1" w:checkStyle="1"/>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F2"/>
    <w:rsid w:val="00012740"/>
    <w:rsid w:val="000166F2"/>
    <w:rsid w:val="00017554"/>
    <w:rsid w:val="00054997"/>
    <w:rsid w:val="000A1EA6"/>
    <w:rsid w:val="000B3F5B"/>
    <w:rsid w:val="000C6411"/>
    <w:rsid w:val="000D06FD"/>
    <w:rsid w:val="000D1076"/>
    <w:rsid w:val="000D2F03"/>
    <w:rsid w:val="001479CF"/>
    <w:rsid w:val="0015556B"/>
    <w:rsid w:val="00164BAF"/>
    <w:rsid w:val="001A3CC6"/>
    <w:rsid w:val="001B638A"/>
    <w:rsid w:val="001E23B5"/>
    <w:rsid w:val="00202A4A"/>
    <w:rsid w:val="00203D97"/>
    <w:rsid w:val="00241259"/>
    <w:rsid w:val="00261866"/>
    <w:rsid w:val="00286A16"/>
    <w:rsid w:val="002A079A"/>
    <w:rsid w:val="002C26E7"/>
    <w:rsid w:val="002D1401"/>
    <w:rsid w:val="00355BAD"/>
    <w:rsid w:val="0036116F"/>
    <w:rsid w:val="003A5551"/>
    <w:rsid w:val="003B5DFC"/>
    <w:rsid w:val="003E1755"/>
    <w:rsid w:val="003E2CA4"/>
    <w:rsid w:val="003F61E7"/>
    <w:rsid w:val="00401F11"/>
    <w:rsid w:val="0045150D"/>
    <w:rsid w:val="004649A5"/>
    <w:rsid w:val="0049704E"/>
    <w:rsid w:val="005036FF"/>
    <w:rsid w:val="0051395F"/>
    <w:rsid w:val="005265FA"/>
    <w:rsid w:val="005275E7"/>
    <w:rsid w:val="005712AF"/>
    <w:rsid w:val="00580362"/>
    <w:rsid w:val="0059260E"/>
    <w:rsid w:val="005B1A5B"/>
    <w:rsid w:val="005B7ECF"/>
    <w:rsid w:val="005E5881"/>
    <w:rsid w:val="00633309"/>
    <w:rsid w:val="00651954"/>
    <w:rsid w:val="0065575C"/>
    <w:rsid w:val="00671985"/>
    <w:rsid w:val="00686EEC"/>
    <w:rsid w:val="00696D3F"/>
    <w:rsid w:val="006A3769"/>
    <w:rsid w:val="006D32A1"/>
    <w:rsid w:val="006E6972"/>
    <w:rsid w:val="007319D1"/>
    <w:rsid w:val="00752E24"/>
    <w:rsid w:val="00763D65"/>
    <w:rsid w:val="0079372C"/>
    <w:rsid w:val="0080228D"/>
    <w:rsid w:val="00821FFD"/>
    <w:rsid w:val="00831040"/>
    <w:rsid w:val="008416C7"/>
    <w:rsid w:val="008F42BD"/>
    <w:rsid w:val="0096504D"/>
    <w:rsid w:val="009B4278"/>
    <w:rsid w:val="00A843C7"/>
    <w:rsid w:val="00A9126E"/>
    <w:rsid w:val="00AB24B4"/>
    <w:rsid w:val="00AD2D11"/>
    <w:rsid w:val="00AE4677"/>
    <w:rsid w:val="00AF07D4"/>
    <w:rsid w:val="00B31AF6"/>
    <w:rsid w:val="00B52B20"/>
    <w:rsid w:val="00B969FB"/>
    <w:rsid w:val="00BD20E3"/>
    <w:rsid w:val="00D15178"/>
    <w:rsid w:val="00D25466"/>
    <w:rsid w:val="00D70977"/>
    <w:rsid w:val="00D84254"/>
    <w:rsid w:val="00DA53FD"/>
    <w:rsid w:val="00DB618C"/>
    <w:rsid w:val="00DB763C"/>
    <w:rsid w:val="00DC0492"/>
    <w:rsid w:val="00DE2B8F"/>
    <w:rsid w:val="00E053BC"/>
    <w:rsid w:val="00E51B37"/>
    <w:rsid w:val="00E62C5D"/>
    <w:rsid w:val="00E659B1"/>
    <w:rsid w:val="00EA781F"/>
    <w:rsid w:val="00ED5AE4"/>
    <w:rsid w:val="00ED6DEA"/>
    <w:rsid w:val="00EE1CED"/>
    <w:rsid w:val="00EE222C"/>
    <w:rsid w:val="00EE77F3"/>
    <w:rsid w:val="00F00CA8"/>
    <w:rsid w:val="00F337AF"/>
    <w:rsid w:val="00F41136"/>
    <w:rsid w:val="00F51F16"/>
    <w:rsid w:val="00F525C7"/>
    <w:rsid w:val="00F8770C"/>
    <w:rsid w:val="00FA3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08AC"/>
  <w15:chartTrackingRefBased/>
  <w15:docId w15:val="{7C7B4193-FD7C-4BC6-8D8F-BC8163B8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712AF"/>
  </w:style>
  <w:style w:type="paragraph" w:styleId="Nadpis1">
    <w:name w:val="heading 1"/>
    <w:basedOn w:val="Normlny"/>
    <w:next w:val="Normlny"/>
    <w:link w:val="Nadpis1Char"/>
    <w:uiPriority w:val="9"/>
    <w:qFormat/>
    <w:rsid w:val="00D151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D15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712AF"/>
    <w:rPr>
      <w:color w:val="0000FF"/>
      <w:u w:val="single"/>
    </w:rPr>
  </w:style>
  <w:style w:type="paragraph" w:styleId="Normlnywebov">
    <w:name w:val="Normal (Web)"/>
    <w:basedOn w:val="Normlny"/>
    <w:uiPriority w:val="99"/>
    <w:unhideWhenUsed/>
    <w:rsid w:val="005712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poznmkypodiarou">
    <w:name w:val="footnote text"/>
    <w:basedOn w:val="Normlny"/>
    <w:link w:val="TextpoznmkypodiarouChar"/>
    <w:uiPriority w:val="99"/>
    <w:unhideWhenUsed/>
    <w:rsid w:val="005712A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5712AF"/>
    <w:rPr>
      <w:sz w:val="20"/>
      <w:szCs w:val="20"/>
    </w:rPr>
  </w:style>
  <w:style w:type="paragraph" w:styleId="Odsekzoznamu">
    <w:name w:val="List Paragraph"/>
    <w:basedOn w:val="Normlny"/>
    <w:uiPriority w:val="34"/>
    <w:qFormat/>
    <w:rsid w:val="005712AF"/>
    <w:pPr>
      <w:spacing w:line="256" w:lineRule="auto"/>
      <w:ind w:left="720"/>
      <w:contextualSpacing/>
    </w:pPr>
  </w:style>
  <w:style w:type="character" w:styleId="Odkaznapoznmkupodiarou">
    <w:name w:val="footnote reference"/>
    <w:basedOn w:val="Predvolenpsmoodseku"/>
    <w:uiPriority w:val="99"/>
    <w:semiHidden/>
    <w:unhideWhenUsed/>
    <w:rsid w:val="005712AF"/>
    <w:rPr>
      <w:vertAlign w:val="superscript"/>
    </w:rPr>
  </w:style>
  <w:style w:type="character" w:styleId="Vrazn">
    <w:name w:val="Strong"/>
    <w:basedOn w:val="Predvolenpsmoodseku"/>
    <w:uiPriority w:val="22"/>
    <w:qFormat/>
    <w:rsid w:val="005712AF"/>
    <w:rPr>
      <w:b/>
      <w:bCs/>
    </w:rPr>
  </w:style>
  <w:style w:type="character" w:styleId="Zvraznenie">
    <w:name w:val="Emphasis"/>
    <w:basedOn w:val="Predvolenpsmoodseku"/>
    <w:uiPriority w:val="20"/>
    <w:qFormat/>
    <w:rsid w:val="005712AF"/>
    <w:rPr>
      <w:i/>
      <w:iCs/>
    </w:rPr>
  </w:style>
  <w:style w:type="paragraph" w:customStyle="1" w:styleId="DecimalAligned">
    <w:name w:val="Decimal Aligned"/>
    <w:basedOn w:val="Normlny"/>
    <w:uiPriority w:val="40"/>
    <w:qFormat/>
    <w:rsid w:val="005712AF"/>
    <w:pPr>
      <w:tabs>
        <w:tab w:val="decimal" w:pos="360"/>
      </w:tabs>
      <w:spacing w:after="200" w:line="276" w:lineRule="auto"/>
    </w:pPr>
    <w:rPr>
      <w:rFonts w:eastAsiaTheme="minorEastAsia" w:cs="Times New Roman"/>
      <w:lang w:eastAsia="ru-RU"/>
    </w:rPr>
  </w:style>
  <w:style w:type="character" w:styleId="Jemnzvraznenie">
    <w:name w:val="Subtle Emphasis"/>
    <w:basedOn w:val="Predvolenpsmoodseku"/>
    <w:uiPriority w:val="19"/>
    <w:qFormat/>
    <w:rsid w:val="005712AF"/>
    <w:rPr>
      <w:i/>
      <w:iCs/>
    </w:rPr>
  </w:style>
  <w:style w:type="paragraph" w:styleId="Hlavika">
    <w:name w:val="header"/>
    <w:basedOn w:val="Normlny"/>
    <w:link w:val="HlavikaChar"/>
    <w:uiPriority w:val="99"/>
    <w:unhideWhenUsed/>
    <w:rsid w:val="005712AF"/>
    <w:pPr>
      <w:tabs>
        <w:tab w:val="center" w:pos="4677"/>
        <w:tab w:val="right" w:pos="9355"/>
      </w:tabs>
      <w:spacing w:after="0" w:line="240" w:lineRule="auto"/>
    </w:pPr>
  </w:style>
  <w:style w:type="character" w:customStyle="1" w:styleId="HlavikaChar">
    <w:name w:val="Hlavička Char"/>
    <w:basedOn w:val="Predvolenpsmoodseku"/>
    <w:link w:val="Hlavika"/>
    <w:uiPriority w:val="99"/>
    <w:rsid w:val="005712AF"/>
  </w:style>
  <w:style w:type="paragraph" w:styleId="Pta">
    <w:name w:val="footer"/>
    <w:basedOn w:val="Normlny"/>
    <w:link w:val="PtaChar"/>
    <w:uiPriority w:val="99"/>
    <w:unhideWhenUsed/>
    <w:rsid w:val="005712AF"/>
    <w:pPr>
      <w:tabs>
        <w:tab w:val="center" w:pos="4677"/>
        <w:tab w:val="right" w:pos="9355"/>
      </w:tabs>
      <w:spacing w:after="0" w:line="240" w:lineRule="auto"/>
    </w:pPr>
  </w:style>
  <w:style w:type="character" w:customStyle="1" w:styleId="PtaChar">
    <w:name w:val="Päta Char"/>
    <w:basedOn w:val="Predvolenpsmoodseku"/>
    <w:link w:val="Pta"/>
    <w:uiPriority w:val="99"/>
    <w:rsid w:val="005712AF"/>
  </w:style>
  <w:style w:type="character" w:styleId="Odkaznakomentr">
    <w:name w:val="annotation reference"/>
    <w:basedOn w:val="Predvolenpsmoodseku"/>
    <w:uiPriority w:val="99"/>
    <w:semiHidden/>
    <w:unhideWhenUsed/>
    <w:rsid w:val="005712AF"/>
    <w:rPr>
      <w:sz w:val="16"/>
      <w:szCs w:val="16"/>
    </w:rPr>
  </w:style>
  <w:style w:type="paragraph" w:styleId="Textkomentra">
    <w:name w:val="annotation text"/>
    <w:basedOn w:val="Normlny"/>
    <w:link w:val="TextkomentraChar"/>
    <w:uiPriority w:val="99"/>
    <w:semiHidden/>
    <w:unhideWhenUsed/>
    <w:rsid w:val="005712AF"/>
    <w:pPr>
      <w:spacing w:line="240" w:lineRule="auto"/>
    </w:pPr>
    <w:rPr>
      <w:sz w:val="20"/>
      <w:szCs w:val="20"/>
    </w:rPr>
  </w:style>
  <w:style w:type="character" w:customStyle="1" w:styleId="TextkomentraChar">
    <w:name w:val="Text komentára Char"/>
    <w:basedOn w:val="Predvolenpsmoodseku"/>
    <w:link w:val="Textkomentra"/>
    <w:uiPriority w:val="99"/>
    <w:semiHidden/>
    <w:rsid w:val="005712AF"/>
    <w:rPr>
      <w:sz w:val="20"/>
      <w:szCs w:val="20"/>
    </w:rPr>
  </w:style>
  <w:style w:type="character" w:customStyle="1" w:styleId="PredmetkomentraChar">
    <w:name w:val="Predmet komentára Char"/>
    <w:basedOn w:val="TextkomentraChar"/>
    <w:link w:val="Predmetkomentra"/>
    <w:uiPriority w:val="99"/>
    <w:semiHidden/>
    <w:rsid w:val="005712AF"/>
    <w:rPr>
      <w:b/>
      <w:bCs/>
      <w:sz w:val="20"/>
      <w:szCs w:val="20"/>
    </w:rPr>
  </w:style>
  <w:style w:type="paragraph" w:styleId="Predmetkomentra">
    <w:name w:val="annotation subject"/>
    <w:basedOn w:val="Textkomentra"/>
    <w:next w:val="Textkomentra"/>
    <w:link w:val="PredmetkomentraChar"/>
    <w:uiPriority w:val="99"/>
    <w:semiHidden/>
    <w:unhideWhenUsed/>
    <w:rsid w:val="005712AF"/>
    <w:rPr>
      <w:b/>
      <w:bCs/>
    </w:rPr>
  </w:style>
  <w:style w:type="paragraph" w:styleId="Textbubliny">
    <w:name w:val="Balloon Text"/>
    <w:basedOn w:val="Normlny"/>
    <w:link w:val="TextbublinyChar"/>
    <w:uiPriority w:val="99"/>
    <w:semiHidden/>
    <w:unhideWhenUsed/>
    <w:rsid w:val="005712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12AF"/>
    <w:rPr>
      <w:rFonts w:ascii="Segoe UI" w:hAnsi="Segoe UI" w:cs="Segoe UI"/>
      <w:sz w:val="18"/>
      <w:szCs w:val="18"/>
    </w:rPr>
  </w:style>
  <w:style w:type="character" w:customStyle="1" w:styleId="Nadpis1Char">
    <w:name w:val="Nadpis 1 Char"/>
    <w:basedOn w:val="Predvolenpsmoodseku"/>
    <w:link w:val="Nadpis1"/>
    <w:uiPriority w:val="9"/>
    <w:rsid w:val="00D1517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semiHidden/>
    <w:rsid w:val="00D1517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99255">
      <w:bodyDiv w:val="1"/>
      <w:marLeft w:val="0"/>
      <w:marRight w:val="0"/>
      <w:marTop w:val="0"/>
      <w:marBottom w:val="0"/>
      <w:divBdr>
        <w:top w:val="none" w:sz="0" w:space="0" w:color="auto"/>
        <w:left w:val="none" w:sz="0" w:space="0" w:color="auto"/>
        <w:bottom w:val="none" w:sz="0" w:space="0" w:color="auto"/>
        <w:right w:val="none" w:sz="0" w:space="0" w:color="auto"/>
      </w:divBdr>
    </w:div>
    <w:div w:id="15960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ADDA-CBE7-4B68-8453-B9E50CA9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1444</Words>
  <Characters>8234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Steuer Max</cp:lastModifiedBy>
  <cp:revision>99</cp:revision>
  <dcterms:created xsi:type="dcterms:W3CDTF">2020-06-06T21:24:00Z</dcterms:created>
  <dcterms:modified xsi:type="dcterms:W3CDTF">2020-06-26T20:56:00Z</dcterms:modified>
</cp:coreProperties>
</file>